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9360"/>
      </w:tblGrid>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erial" w:hAnsi="Aerial" w:cs="Aerial" w:eastAsia="Aerial"/>
                <w:b/>
                <w:color w:val="auto"/>
                <w:spacing w:val="0"/>
                <w:position w:val="0"/>
                <w:sz w:val="22"/>
                <w:shd w:fill="auto" w:val="clear"/>
              </w:rPr>
              <w:t xml:space="preserve">Name and address of proposed development site</w:t>
            </w: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16 Wynnstay Court, Wynnstay Hall Estate, Ruabon, Wrexham, LL14 6LA</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Proposed Development or Works</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7 x replacement windows in UPVC in the same design and colour scheme as existing windows for the front of the property (east elevation) . 2 x replacement windows in hardwood for the rear of the property (west elevation) in the same design and colour scheme.</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HERITAGE IMPACT STATEMENT</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Replacement of the existing, timber windows with UPVC units on the front of the property (east) and new timber windows on the rear of the property (west).</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Assessment of Significance</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The property is a curtilage listed building in association with the Grade II* listed Wynnstay Hall and is also located within a Grade I registered historic landscape.</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color w:val="000000"/>
                <w:spacing w:val="0"/>
                <w:position w:val="0"/>
                <w:sz w:val="22"/>
                <w:shd w:fill="auto" w:val="clear"/>
              </w:rPr>
              <w:t xml:space="preserve">The property forms part of a former estate building which was converted to residential use in 2000/2001. At that time new windows and doors were installed in the building. The west (rear)elevation is the only retained element of the original building and is not affected by the proposals. The east (front) elevation was rebuilt as part of the conversion and therefore is of no special architectural or historic interest. The windows at the rear (west) of the property will be replaced with new timber windows enhancing the look and feel in comparison to the existing windows that have deteriorated over the past 20+ years.</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Benefits of the Proposals</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The condition of the existing timber windows are poor. They were installed at the time of conversion using low quality softwood and as such has deteriorated quickly. Efforts have been made to maintain the windows, however they are now over 20 years old. The building will therefore benefit from their replacement and the additional health considerations (no black mould / reduced damp) and security they will provide. The windows proposed for UPVC, that are located on the east (front) elevation of the building facing into a private area where it is not visible within the setting of the Grade II* Listed Wynnstay Hall.</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Negative Impacts</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It is understood that UPVC is not a traditional material, normally accepted on listed buildings</w:t>
            </w: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however an appeal decision in 2016 permitted the use of UPVC for replacement windows and doors on this elevation of the building as it would not be considered harmful to the architectural impact of the building or the setting of the hall or wider area.</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Proposed Solution</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color w:val="000000"/>
                <w:spacing w:val="0"/>
                <w:position w:val="0"/>
                <w:sz w:val="22"/>
                <w:shd w:fill="auto" w:val="clear"/>
              </w:rPr>
              <w:t xml:space="preserve">The proposed windows (both wood and UPVC) will be designed to replicate the existing in both colour and appearance.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Plans submitted and approval received from the directors of Wynnstay Hall Management Company. Listed building planning permission applied for.</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