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A36" w:rsidRPr="00F26A36" w:rsidRDefault="00F26A36" w:rsidP="00F26A36">
      <w:pPr>
        <w:spacing w:after="200" w:line="276" w:lineRule="auto"/>
        <w:rPr>
          <w:rFonts w:ascii="Arial" w:eastAsia="Times New Roman" w:hAnsi="Arial" w:cs="Arial"/>
          <w:b/>
          <w:sz w:val="28"/>
        </w:rPr>
      </w:pPr>
      <w:r w:rsidRPr="00F26A36">
        <w:rPr>
          <w:rFonts w:ascii="Arial" w:eastAsia="Times New Roman" w:hAnsi="Arial" w:cs="Arial"/>
          <w:b/>
          <w:sz w:val="28"/>
        </w:rPr>
        <w:t xml:space="preserve">Wrexham CBC Local Planning Authority </w:t>
      </w:r>
      <w:r w:rsidRPr="00F26A36">
        <w:rPr>
          <w:rFonts w:ascii="Arial" w:hAnsi="Arial" w:cs="Arial"/>
          <w:b/>
          <w:sz w:val="28"/>
        </w:rPr>
        <w:t>P/2024/0110</w:t>
      </w:r>
    </w:p>
    <w:p w:rsidR="00F26A36" w:rsidRDefault="00F26A36" w:rsidP="00F26A36">
      <w:pPr>
        <w:spacing w:after="200" w:line="276" w:lineRule="auto"/>
        <w:rPr>
          <w:rFonts w:ascii="Arial" w:eastAsia="Times New Roman" w:hAnsi="Arial" w:cs="Arial"/>
          <w:b/>
          <w:sz w:val="28"/>
        </w:rPr>
      </w:pPr>
      <w:r w:rsidRPr="00F26A36">
        <w:rPr>
          <w:rFonts w:ascii="Arial" w:eastAsia="Times New Roman" w:hAnsi="Arial" w:cs="Arial"/>
          <w:b/>
          <w:sz w:val="28"/>
        </w:rPr>
        <w:t>HRA Screening Report for Phosphate inputs in the river Special Areas of Conservation (SACs)</w:t>
      </w:r>
    </w:p>
    <w:p w:rsidR="00F26A36" w:rsidRPr="00F26A36" w:rsidRDefault="00F26A36" w:rsidP="00F26A36">
      <w:pPr>
        <w:spacing w:after="200" w:line="276" w:lineRule="auto"/>
        <w:rPr>
          <w:rFonts w:ascii="Arial" w:eastAsia="Times New Roman" w:hAnsi="Arial" w:cs="Arial"/>
          <w:b/>
          <w:sz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F26A36" w:rsidRPr="00F26A36" w:rsidTr="0056653A">
        <w:tc>
          <w:tcPr>
            <w:tcW w:w="9351" w:type="dxa"/>
            <w:gridSpan w:val="2"/>
          </w:tcPr>
          <w:p w:rsidR="00F26A36" w:rsidRPr="00F26A36" w:rsidRDefault="00F26A36" w:rsidP="00F26A36">
            <w:pPr>
              <w:spacing w:after="0" w:line="240" w:lineRule="auto"/>
              <w:textAlignment w:val="baseline"/>
              <w:rPr>
                <w:rFonts w:ascii="Arial" w:eastAsia="Times New Roman" w:hAnsi="Arial" w:cs="Arial"/>
                <w:b/>
                <w:bCs/>
                <w:highlight w:val="yellow"/>
                <w:lang w:eastAsia="en-GB"/>
              </w:rPr>
            </w:pPr>
            <w:r w:rsidRPr="00F26A36">
              <w:rPr>
                <w:rFonts w:ascii="Arial" w:eastAsia="Times New Roman" w:hAnsi="Arial" w:cs="Arial"/>
                <w:b/>
                <w:lang w:val="en" w:eastAsia="en-GB"/>
              </w:rPr>
              <w:t xml:space="preserve">River Dee and </w:t>
            </w:r>
            <w:proofErr w:type="spellStart"/>
            <w:r w:rsidRPr="00F26A36">
              <w:rPr>
                <w:rFonts w:ascii="Arial" w:eastAsia="Times New Roman" w:hAnsi="Arial" w:cs="Arial"/>
                <w:b/>
                <w:lang w:val="en" w:eastAsia="en-GB"/>
              </w:rPr>
              <w:t>Bala</w:t>
            </w:r>
            <w:proofErr w:type="spellEnd"/>
            <w:r w:rsidRPr="00F26A36">
              <w:rPr>
                <w:rFonts w:ascii="Arial" w:eastAsia="Times New Roman" w:hAnsi="Arial" w:cs="Arial"/>
                <w:b/>
                <w:lang w:val="en" w:eastAsia="en-GB"/>
              </w:rPr>
              <w:t xml:space="preserve"> Lake/ </w:t>
            </w:r>
            <w:proofErr w:type="spellStart"/>
            <w:r w:rsidRPr="00F26A36">
              <w:rPr>
                <w:rFonts w:ascii="Arial" w:eastAsia="Times New Roman" w:hAnsi="Arial" w:cs="Arial"/>
                <w:b/>
                <w:lang w:val="en" w:eastAsia="en-GB"/>
              </w:rPr>
              <w:t>Afon</w:t>
            </w:r>
            <w:proofErr w:type="spellEnd"/>
            <w:r w:rsidRPr="00F26A36">
              <w:rPr>
                <w:rFonts w:ascii="Arial" w:eastAsia="Times New Roman" w:hAnsi="Arial" w:cs="Arial"/>
                <w:b/>
                <w:lang w:val="en" w:eastAsia="en-GB"/>
              </w:rPr>
              <w:t xml:space="preserve"> </w:t>
            </w:r>
            <w:proofErr w:type="spellStart"/>
            <w:r w:rsidRPr="00F26A36">
              <w:rPr>
                <w:rFonts w:ascii="Arial" w:eastAsia="Times New Roman" w:hAnsi="Arial" w:cs="Arial"/>
                <w:b/>
                <w:lang w:val="en" w:eastAsia="en-GB"/>
              </w:rPr>
              <w:t>Dyfrdwy</w:t>
            </w:r>
            <w:proofErr w:type="spellEnd"/>
            <w:r w:rsidRPr="00F26A36">
              <w:rPr>
                <w:rFonts w:ascii="Arial" w:eastAsia="Times New Roman" w:hAnsi="Arial" w:cs="Arial"/>
                <w:b/>
                <w:lang w:val="en" w:eastAsia="en-GB"/>
              </w:rPr>
              <w:t xml:space="preserve"> a </w:t>
            </w:r>
            <w:proofErr w:type="spellStart"/>
            <w:r w:rsidRPr="00F26A36">
              <w:rPr>
                <w:rFonts w:ascii="Arial" w:eastAsia="Times New Roman" w:hAnsi="Arial" w:cs="Arial"/>
                <w:b/>
                <w:lang w:val="en" w:eastAsia="en-GB"/>
              </w:rPr>
              <w:t>Llyn</w:t>
            </w:r>
            <w:proofErr w:type="spellEnd"/>
            <w:r w:rsidRPr="00F26A36">
              <w:rPr>
                <w:rFonts w:ascii="Arial" w:eastAsia="Times New Roman" w:hAnsi="Arial" w:cs="Arial"/>
                <w:b/>
                <w:lang w:val="en" w:eastAsia="en-GB"/>
              </w:rPr>
              <w:t xml:space="preserve"> </w:t>
            </w:r>
            <w:proofErr w:type="spellStart"/>
            <w:r w:rsidRPr="00F26A36">
              <w:rPr>
                <w:rFonts w:ascii="Arial" w:eastAsia="Times New Roman" w:hAnsi="Arial" w:cs="Arial"/>
                <w:b/>
                <w:lang w:val="en" w:eastAsia="en-GB"/>
              </w:rPr>
              <w:t>Tegid</w:t>
            </w:r>
            <w:proofErr w:type="spellEnd"/>
            <w:r w:rsidRPr="00F26A36">
              <w:rPr>
                <w:rFonts w:ascii="Arial" w:eastAsia="Times New Roman" w:hAnsi="Arial" w:cs="Arial"/>
                <w:b/>
                <w:lang w:eastAsia="en-GB"/>
              </w:rPr>
              <w:t> (UK0030252)</w:t>
            </w:r>
          </w:p>
        </w:tc>
      </w:tr>
      <w:tr w:rsidR="00F26A36" w:rsidRPr="00F26A36" w:rsidTr="0056653A">
        <w:tc>
          <w:tcPr>
            <w:tcW w:w="4531" w:type="dxa"/>
          </w:tcPr>
          <w:p w:rsidR="00F26A36" w:rsidRPr="00F26A36" w:rsidRDefault="00F26A36" w:rsidP="00F26A36">
            <w:pPr>
              <w:spacing w:after="0" w:line="240" w:lineRule="auto"/>
              <w:textAlignment w:val="baseline"/>
              <w:rPr>
                <w:rFonts w:ascii="Arial" w:eastAsia="Times New Roman" w:hAnsi="Arial" w:cs="Arial"/>
                <w:lang w:eastAsia="en-GB"/>
              </w:rPr>
            </w:pPr>
            <w:r w:rsidRPr="00F26A36">
              <w:rPr>
                <w:rFonts w:ascii="Arial" w:eastAsia="Times New Roman" w:hAnsi="Arial" w:cs="Arial"/>
                <w:lang w:val="en-US" w:eastAsia="en-GB"/>
              </w:rPr>
              <w:t>Annex I habitats present which are a primary reason for selection of this site:</w:t>
            </w:r>
            <w:r w:rsidRPr="00F26A36">
              <w:rPr>
                <w:rFonts w:ascii="Arial" w:eastAsia="Times New Roman" w:hAnsi="Arial" w:cs="Arial"/>
                <w:lang w:eastAsia="en-GB"/>
              </w:rPr>
              <w:t> </w:t>
            </w:r>
          </w:p>
        </w:tc>
        <w:tc>
          <w:tcPr>
            <w:tcW w:w="4820" w:type="dxa"/>
          </w:tcPr>
          <w:p w:rsidR="00F26A36" w:rsidRPr="00F26A36" w:rsidRDefault="00F26A36" w:rsidP="00F26A36">
            <w:pPr>
              <w:numPr>
                <w:ilvl w:val="0"/>
                <w:numId w:val="1"/>
              </w:numPr>
              <w:spacing w:after="0" w:line="240" w:lineRule="auto"/>
              <w:ind w:left="0"/>
              <w:rPr>
                <w:rFonts w:ascii="Arial" w:eastAsia="Times New Roman" w:hAnsi="Arial" w:cs="Arial"/>
                <w:bCs/>
                <w:lang w:val="en" w:eastAsia="en-GB"/>
              </w:rPr>
            </w:pPr>
            <w:r w:rsidRPr="00F26A36">
              <w:rPr>
                <w:rFonts w:ascii="Arial" w:eastAsia="Times New Roman" w:hAnsi="Arial" w:cs="Arial"/>
                <w:bCs/>
                <w:lang w:val="en" w:eastAsia="en-GB"/>
              </w:rPr>
              <w:t xml:space="preserve">3260 </w:t>
            </w:r>
            <w:hyperlink r:id="rId5" w:history="1">
              <w:r w:rsidRPr="00F26A36">
                <w:rPr>
                  <w:rFonts w:ascii="Arial" w:eastAsia="Times New Roman" w:hAnsi="Arial" w:cs="Arial"/>
                  <w:bCs/>
                  <w:lang w:val="en" w:eastAsia="en-GB"/>
                </w:rPr>
                <w:t xml:space="preserve">Water courses of plain to montane levels with the </w:t>
              </w:r>
              <w:proofErr w:type="spellStart"/>
              <w:r w:rsidRPr="00F26A36">
                <w:rPr>
                  <w:rFonts w:ascii="Arial" w:eastAsia="Times New Roman" w:hAnsi="Arial" w:cs="Arial"/>
                  <w:bCs/>
                  <w:i/>
                  <w:lang w:val="en" w:eastAsia="en-GB"/>
                </w:rPr>
                <w:t>Ranunculion</w:t>
              </w:r>
              <w:proofErr w:type="spellEnd"/>
              <w:r w:rsidRPr="00F26A36">
                <w:rPr>
                  <w:rFonts w:ascii="Arial" w:eastAsia="Times New Roman" w:hAnsi="Arial" w:cs="Arial"/>
                  <w:bCs/>
                  <w:i/>
                  <w:lang w:val="en" w:eastAsia="en-GB"/>
                </w:rPr>
                <w:t xml:space="preserve"> </w:t>
              </w:r>
              <w:proofErr w:type="spellStart"/>
              <w:r w:rsidRPr="00F26A36">
                <w:rPr>
                  <w:rFonts w:ascii="Arial" w:eastAsia="Times New Roman" w:hAnsi="Arial" w:cs="Arial"/>
                  <w:bCs/>
                  <w:i/>
                  <w:lang w:val="en" w:eastAsia="en-GB"/>
                </w:rPr>
                <w:t>fluitantis</w:t>
              </w:r>
              <w:proofErr w:type="spellEnd"/>
              <w:r w:rsidRPr="00F26A36">
                <w:rPr>
                  <w:rFonts w:ascii="Arial" w:eastAsia="Times New Roman" w:hAnsi="Arial" w:cs="Arial"/>
                  <w:bCs/>
                  <w:lang w:val="en" w:eastAsia="en-GB"/>
                </w:rPr>
                <w:t xml:space="preserve"> and</w:t>
              </w:r>
              <w:r w:rsidRPr="00F26A36">
                <w:rPr>
                  <w:rFonts w:ascii="Arial" w:eastAsia="Times New Roman" w:hAnsi="Arial" w:cs="Arial"/>
                  <w:bCs/>
                  <w:i/>
                  <w:lang w:val="en" w:eastAsia="en-GB"/>
                </w:rPr>
                <w:t xml:space="preserve"> </w:t>
              </w:r>
              <w:proofErr w:type="spellStart"/>
              <w:r w:rsidRPr="00F26A36">
                <w:rPr>
                  <w:rFonts w:ascii="Arial" w:eastAsia="Times New Roman" w:hAnsi="Arial" w:cs="Arial"/>
                  <w:bCs/>
                  <w:i/>
                  <w:lang w:val="en" w:eastAsia="en-GB"/>
                </w:rPr>
                <w:t>Callitricho-Batrachion</w:t>
              </w:r>
              <w:proofErr w:type="spellEnd"/>
              <w:r w:rsidRPr="00F26A36">
                <w:rPr>
                  <w:rFonts w:ascii="Arial" w:eastAsia="Times New Roman" w:hAnsi="Arial" w:cs="Arial"/>
                  <w:bCs/>
                  <w:i/>
                  <w:lang w:val="en" w:eastAsia="en-GB"/>
                </w:rPr>
                <w:t xml:space="preserve"> </w:t>
              </w:r>
              <w:r w:rsidRPr="00F26A36">
                <w:rPr>
                  <w:rFonts w:ascii="Arial" w:eastAsia="Times New Roman" w:hAnsi="Arial" w:cs="Arial"/>
                  <w:bCs/>
                  <w:lang w:val="en" w:eastAsia="en-GB"/>
                </w:rPr>
                <w:t>vegetation</w:t>
              </w:r>
            </w:hyperlink>
            <w:r w:rsidRPr="00F26A36">
              <w:rPr>
                <w:rFonts w:ascii="Arial" w:eastAsia="Times New Roman" w:hAnsi="Arial" w:cs="Arial"/>
                <w:bCs/>
                <w:lang w:val="en" w:eastAsia="en-GB"/>
              </w:rPr>
              <w:t xml:space="preserve"> </w:t>
            </w:r>
          </w:p>
          <w:p w:rsidR="00F26A36" w:rsidRPr="00F26A36" w:rsidRDefault="00F26A36" w:rsidP="00F26A36">
            <w:pPr>
              <w:spacing w:after="300" w:line="276" w:lineRule="auto"/>
              <w:rPr>
                <w:rFonts w:ascii="Arial" w:eastAsia="Times New Roman" w:hAnsi="Arial" w:cs="Arial"/>
              </w:rPr>
            </w:pPr>
          </w:p>
        </w:tc>
      </w:tr>
      <w:tr w:rsidR="00F26A36" w:rsidRPr="00F26A36" w:rsidTr="0056653A">
        <w:trPr>
          <w:trHeight w:val="1184"/>
        </w:trPr>
        <w:tc>
          <w:tcPr>
            <w:tcW w:w="4531" w:type="dxa"/>
          </w:tcPr>
          <w:p w:rsidR="00F26A36" w:rsidRPr="00F26A36" w:rsidRDefault="00F26A36" w:rsidP="00F26A36">
            <w:pPr>
              <w:spacing w:after="0" w:line="240" w:lineRule="auto"/>
              <w:textAlignment w:val="baseline"/>
              <w:rPr>
                <w:rFonts w:ascii="Arial" w:eastAsia="Times New Roman" w:hAnsi="Arial" w:cs="Arial"/>
                <w:lang w:eastAsia="en-GB"/>
              </w:rPr>
            </w:pPr>
            <w:r w:rsidRPr="00F26A36">
              <w:rPr>
                <w:rFonts w:ascii="Arial" w:eastAsia="Times New Roman" w:hAnsi="Arial" w:cs="Arial"/>
                <w:lang w:val="en-US" w:eastAsia="en-GB"/>
              </w:rPr>
              <w:t>The Annex II species that are a primary reason for selection of this site are:</w:t>
            </w:r>
            <w:r w:rsidRPr="00F26A36">
              <w:rPr>
                <w:rFonts w:ascii="Arial" w:eastAsia="Times New Roman" w:hAnsi="Arial" w:cs="Arial"/>
                <w:lang w:eastAsia="en-GB"/>
              </w:rPr>
              <w:t> </w:t>
            </w:r>
          </w:p>
          <w:p w:rsidR="00F26A36" w:rsidRPr="00F26A36" w:rsidRDefault="00F26A36" w:rsidP="00F26A36">
            <w:pPr>
              <w:spacing w:after="0" w:line="240" w:lineRule="auto"/>
              <w:textAlignment w:val="baseline"/>
              <w:rPr>
                <w:rFonts w:ascii="Arial" w:eastAsia="Times New Roman" w:hAnsi="Arial" w:cs="Arial"/>
                <w:b/>
                <w:bCs/>
                <w:lang w:eastAsia="en-GB"/>
              </w:rPr>
            </w:pPr>
          </w:p>
        </w:tc>
        <w:tc>
          <w:tcPr>
            <w:tcW w:w="4820" w:type="dxa"/>
          </w:tcPr>
          <w:p w:rsidR="00F26A36" w:rsidRPr="00F26A36" w:rsidRDefault="00F26A36" w:rsidP="00F26A36">
            <w:pPr>
              <w:numPr>
                <w:ilvl w:val="0"/>
                <w:numId w:val="2"/>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1106 </w:t>
            </w:r>
            <w:hyperlink r:id="rId6" w:history="1">
              <w:r w:rsidRPr="00F26A36">
                <w:rPr>
                  <w:rFonts w:ascii="Arial" w:eastAsia="Times New Roman" w:hAnsi="Arial" w:cs="Arial"/>
                  <w:bCs/>
                  <w:lang w:val="en" w:eastAsia="en-GB"/>
                </w:rPr>
                <w:t>Atlantic salmon</w:t>
              </w:r>
            </w:hyperlink>
            <w:r w:rsidRPr="00F26A36">
              <w:rPr>
                <w:rFonts w:ascii="Arial" w:eastAsia="Times New Roman" w:hAnsi="Arial" w:cs="Arial"/>
                <w:bCs/>
                <w:lang w:val="en" w:eastAsia="en-GB"/>
              </w:rPr>
              <w:t xml:space="preserve"> </w:t>
            </w:r>
            <w:r w:rsidRPr="00F26A36">
              <w:rPr>
                <w:rFonts w:ascii="Arial" w:eastAsia="Times New Roman" w:hAnsi="Arial" w:cs="Arial"/>
                <w:i/>
                <w:iCs/>
                <w:lang w:val="en" w:eastAsia="en-GB"/>
              </w:rPr>
              <w:t xml:space="preserve">Salmo </w:t>
            </w:r>
            <w:proofErr w:type="spellStart"/>
            <w:r w:rsidRPr="00F26A36">
              <w:rPr>
                <w:rFonts w:ascii="Arial" w:eastAsia="Times New Roman" w:hAnsi="Arial" w:cs="Arial"/>
                <w:i/>
                <w:iCs/>
                <w:lang w:val="en" w:eastAsia="en-GB"/>
              </w:rPr>
              <w:t>salar</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2"/>
              </w:numPr>
              <w:spacing w:after="0" w:line="240" w:lineRule="auto"/>
              <w:ind w:left="0"/>
              <w:rPr>
                <w:rFonts w:ascii="Arial" w:eastAsia="Times New Roman" w:hAnsi="Arial" w:cs="Arial"/>
                <w:lang w:val="en" w:eastAsia="en-GB"/>
              </w:rPr>
            </w:pPr>
          </w:p>
          <w:p w:rsidR="00F26A36" w:rsidRPr="00F26A36" w:rsidRDefault="00F26A36" w:rsidP="00F26A36">
            <w:pPr>
              <w:numPr>
                <w:ilvl w:val="0"/>
                <w:numId w:val="2"/>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1831 </w:t>
            </w:r>
            <w:hyperlink r:id="rId7" w:history="1">
              <w:r w:rsidRPr="00F26A36">
                <w:rPr>
                  <w:rFonts w:ascii="Arial" w:eastAsia="Times New Roman" w:hAnsi="Arial" w:cs="Arial"/>
                  <w:bCs/>
                  <w:lang w:val="en" w:eastAsia="en-GB"/>
                </w:rPr>
                <w:t>Floating water-plantain</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Luronium</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natans</w:t>
            </w:r>
            <w:proofErr w:type="spellEnd"/>
          </w:p>
        </w:tc>
      </w:tr>
      <w:tr w:rsidR="00F26A36" w:rsidRPr="00F26A36" w:rsidTr="0056653A">
        <w:tc>
          <w:tcPr>
            <w:tcW w:w="4531" w:type="dxa"/>
          </w:tcPr>
          <w:p w:rsidR="00F26A36" w:rsidRPr="00F26A36" w:rsidRDefault="00F26A36" w:rsidP="00F26A36">
            <w:pPr>
              <w:spacing w:after="0" w:line="240" w:lineRule="auto"/>
              <w:textAlignment w:val="baseline"/>
              <w:rPr>
                <w:rFonts w:ascii="Arial" w:eastAsia="Times New Roman" w:hAnsi="Arial" w:cs="Arial"/>
                <w:lang w:eastAsia="en-GB"/>
              </w:rPr>
            </w:pPr>
            <w:r w:rsidRPr="00F26A36">
              <w:rPr>
                <w:rFonts w:ascii="Arial" w:eastAsia="Times New Roman" w:hAnsi="Arial" w:cs="Arial"/>
                <w:lang w:val="en-US" w:eastAsia="en-GB"/>
              </w:rPr>
              <w:t>Annex II species present as a qualifying feature, but not a primary reason for site selection:</w:t>
            </w:r>
            <w:r w:rsidRPr="00F26A36">
              <w:rPr>
                <w:rFonts w:ascii="Arial" w:eastAsia="Times New Roman" w:hAnsi="Arial" w:cs="Arial"/>
                <w:lang w:eastAsia="en-GB"/>
              </w:rPr>
              <w:t> </w:t>
            </w:r>
          </w:p>
        </w:tc>
        <w:tc>
          <w:tcPr>
            <w:tcW w:w="4820" w:type="dxa"/>
          </w:tcPr>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1095 </w:t>
            </w:r>
            <w:hyperlink r:id="rId8" w:history="1">
              <w:r w:rsidRPr="00F26A36">
                <w:rPr>
                  <w:rFonts w:ascii="Arial" w:eastAsia="Times New Roman" w:hAnsi="Arial" w:cs="Arial"/>
                  <w:bCs/>
                  <w:lang w:val="en" w:eastAsia="en-GB"/>
                </w:rPr>
                <w:t>Sea lamprey</w:t>
              </w:r>
            </w:hyperlink>
            <w:r w:rsidRPr="00F26A36">
              <w:rPr>
                <w:rFonts w:ascii="Arial" w:eastAsia="Times New Roman" w:hAnsi="Arial" w:cs="Arial"/>
                <w:bCs/>
                <w:lang w:val="en" w:eastAsia="en-GB"/>
              </w:rPr>
              <w:t xml:space="preserve"> </w:t>
            </w:r>
            <w:r w:rsidRPr="00F26A36">
              <w:rPr>
                <w:rFonts w:ascii="Arial" w:eastAsia="Times New Roman" w:hAnsi="Arial" w:cs="Arial"/>
                <w:i/>
                <w:iCs/>
                <w:lang w:val="en" w:eastAsia="en-GB"/>
              </w:rPr>
              <w:t xml:space="preserve">Petromyzon </w:t>
            </w:r>
            <w:proofErr w:type="spellStart"/>
            <w:r w:rsidRPr="00F26A36">
              <w:rPr>
                <w:rFonts w:ascii="Arial" w:eastAsia="Times New Roman" w:hAnsi="Arial" w:cs="Arial"/>
                <w:i/>
                <w:iCs/>
                <w:lang w:val="en" w:eastAsia="en-GB"/>
              </w:rPr>
              <w:t>marinus</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1096 </w:t>
            </w:r>
            <w:hyperlink r:id="rId9" w:history="1">
              <w:r w:rsidRPr="00F26A36">
                <w:rPr>
                  <w:rFonts w:ascii="Arial" w:eastAsia="Times New Roman" w:hAnsi="Arial" w:cs="Arial"/>
                  <w:bCs/>
                  <w:lang w:val="en" w:eastAsia="en-GB"/>
                </w:rPr>
                <w:t>Brook lamprey</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Lampetra</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planeri</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1099 </w:t>
            </w:r>
            <w:hyperlink r:id="rId10" w:history="1">
              <w:r w:rsidRPr="00F26A36">
                <w:rPr>
                  <w:rFonts w:ascii="Arial" w:eastAsia="Times New Roman" w:hAnsi="Arial" w:cs="Arial"/>
                  <w:bCs/>
                  <w:lang w:val="en" w:eastAsia="en-GB"/>
                </w:rPr>
                <w:t>River lamprey</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Lampetra</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fluviatilis</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1163 </w:t>
            </w:r>
            <w:hyperlink r:id="rId11" w:history="1">
              <w:r w:rsidRPr="00F26A36">
                <w:rPr>
                  <w:rFonts w:ascii="Arial" w:eastAsia="Times New Roman" w:hAnsi="Arial" w:cs="Arial"/>
                  <w:bCs/>
                  <w:lang w:val="en" w:eastAsia="en-GB"/>
                </w:rPr>
                <w:t>Bullhead</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Cottus</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gobio</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1355 </w:t>
            </w:r>
            <w:hyperlink r:id="rId12" w:history="1">
              <w:r w:rsidRPr="00F26A36">
                <w:rPr>
                  <w:rFonts w:ascii="Arial" w:eastAsia="Times New Roman" w:hAnsi="Arial" w:cs="Arial"/>
                  <w:bCs/>
                  <w:lang w:val="en" w:eastAsia="en-GB"/>
                </w:rPr>
                <w:t>Otter</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Lutra</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lutra</w:t>
            </w:r>
            <w:proofErr w:type="spellEnd"/>
          </w:p>
          <w:p w:rsidR="00F26A36" w:rsidRPr="00F26A36" w:rsidRDefault="00F26A36" w:rsidP="00F26A36">
            <w:pPr>
              <w:spacing w:after="0" w:line="240" w:lineRule="auto"/>
              <w:textAlignment w:val="baseline"/>
              <w:rPr>
                <w:rFonts w:ascii="Arial" w:eastAsia="Times New Roman" w:hAnsi="Arial" w:cs="Arial"/>
                <w:lang w:eastAsia="en-GB"/>
              </w:rPr>
            </w:pPr>
          </w:p>
        </w:tc>
      </w:tr>
    </w:tbl>
    <w:p w:rsidR="00F26A36" w:rsidRDefault="00F26A36" w:rsidP="00F26A36">
      <w:pPr>
        <w:spacing w:after="0" w:line="240" w:lineRule="auto"/>
        <w:textAlignment w:val="baseline"/>
        <w:rPr>
          <w:rFonts w:ascii="Arial" w:eastAsia="Times New Roman" w:hAnsi="Arial" w:cs="Arial"/>
          <w:b/>
          <w:bCs/>
          <w:lang w:eastAsia="en-GB"/>
        </w:rPr>
      </w:pPr>
    </w:p>
    <w:p w:rsidR="00F26A36" w:rsidRDefault="00F26A36" w:rsidP="00F26A36">
      <w:pPr>
        <w:spacing w:after="0" w:line="240" w:lineRule="auto"/>
        <w:textAlignment w:val="baseline"/>
        <w:rPr>
          <w:rFonts w:ascii="Arial" w:eastAsia="Times New Roman" w:hAnsi="Arial" w:cs="Arial"/>
          <w:b/>
          <w:bCs/>
          <w:lang w:eastAsia="en-GB"/>
        </w:rPr>
      </w:pPr>
    </w:p>
    <w:p w:rsidR="00F26A36" w:rsidRDefault="00F26A36" w:rsidP="00F26A36">
      <w:pPr>
        <w:spacing w:after="0" w:line="240" w:lineRule="auto"/>
        <w:textAlignment w:val="baseline"/>
        <w:rPr>
          <w:rFonts w:ascii="Arial" w:eastAsia="Times New Roman" w:hAnsi="Arial" w:cs="Arial"/>
          <w:b/>
          <w:bCs/>
          <w:lang w:eastAsia="en-GB"/>
        </w:rPr>
      </w:pPr>
    </w:p>
    <w:p w:rsidR="00F26A36" w:rsidRPr="00F26A36" w:rsidRDefault="00F26A36" w:rsidP="00F26A36">
      <w:pPr>
        <w:spacing w:after="0" w:line="240" w:lineRule="auto"/>
        <w:textAlignment w:val="baseline"/>
        <w:rPr>
          <w:rFonts w:ascii="Arial" w:eastAsia="Times New Roman" w:hAnsi="Arial" w:cs="Arial"/>
          <w:b/>
          <w:bCs/>
          <w:lang w:eastAsia="en-GB"/>
        </w:rPr>
      </w:pPr>
    </w:p>
    <w:p w:rsidR="00F26A36" w:rsidRPr="00F26A36" w:rsidRDefault="00F26A36" w:rsidP="00F26A36">
      <w:pPr>
        <w:spacing w:after="0" w:line="240" w:lineRule="auto"/>
        <w:textAlignment w:val="baseline"/>
        <w:rPr>
          <w:rFonts w:ascii="Arial" w:eastAsia="Times New Roman" w:hAnsi="Arial" w:cs="Arial"/>
          <w:b/>
          <w:bCs/>
          <w:lang w:eastAsia="en-GB"/>
        </w:rPr>
      </w:pPr>
    </w:p>
    <w:p w:rsidR="00F26A36" w:rsidRPr="00F26A36" w:rsidRDefault="00F26A36" w:rsidP="00F26A36">
      <w:pPr>
        <w:spacing w:after="0" w:line="240" w:lineRule="auto"/>
        <w:textAlignment w:val="baseline"/>
        <w:rPr>
          <w:rFonts w:ascii="Arial" w:eastAsia="Times New Roman" w:hAnsi="Arial" w:cs="Arial"/>
          <w:b/>
          <w:bCs/>
          <w:u w:val="single"/>
          <w:lang w:eastAsia="en-GB"/>
        </w:rPr>
      </w:pPr>
      <w:r w:rsidRPr="00F26A36">
        <w:rPr>
          <w:rFonts w:ascii="Arial" w:eastAsia="Times New Roman" w:hAnsi="Arial" w:cs="Arial"/>
          <w:b/>
          <w:bCs/>
          <w:u w:val="single"/>
          <w:lang w:eastAsia="en-GB"/>
        </w:rPr>
        <w:t>SCREENING FOR PHOSPHATE INPUTS</w:t>
      </w:r>
    </w:p>
    <w:p w:rsidR="00F26A36" w:rsidRPr="00F26A36" w:rsidRDefault="00F26A36" w:rsidP="00F26A36">
      <w:pPr>
        <w:spacing w:after="0" w:line="240" w:lineRule="auto"/>
        <w:textAlignment w:val="baseline"/>
        <w:rPr>
          <w:rFonts w:ascii="Arial" w:eastAsia="Times New Roman" w:hAnsi="Arial" w:cs="Arial"/>
          <w:b/>
          <w:bCs/>
          <w:lang w:eastAsia="en-G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
        <w:gridCol w:w="1013"/>
        <w:gridCol w:w="1389"/>
        <w:gridCol w:w="595"/>
        <w:gridCol w:w="2268"/>
        <w:gridCol w:w="397"/>
        <w:gridCol w:w="2013"/>
        <w:gridCol w:w="1276"/>
      </w:tblGrid>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Planning reference:</w:t>
            </w:r>
          </w:p>
          <w:p w:rsidR="00F26A36" w:rsidRPr="00F26A36" w:rsidRDefault="00F26A36" w:rsidP="00F26A36">
            <w:pPr>
              <w:spacing w:after="200" w:line="276" w:lineRule="auto"/>
              <w:rPr>
                <w:rFonts w:ascii="Arial" w:eastAsia="Times New Roman" w:hAnsi="Arial" w:cs="Arial"/>
                <w:b/>
              </w:rPr>
            </w:pPr>
          </w:p>
        </w:tc>
        <w:tc>
          <w:tcPr>
            <w:tcW w:w="6549" w:type="dxa"/>
            <w:gridSpan w:val="5"/>
          </w:tcPr>
          <w:p w:rsidR="00F26A36" w:rsidRPr="00F26A36" w:rsidRDefault="00F26A36" w:rsidP="00F26A36">
            <w:pPr>
              <w:spacing w:after="200" w:line="276" w:lineRule="auto"/>
              <w:rPr>
                <w:rFonts w:ascii="Arial" w:eastAsia="Times New Roman" w:hAnsi="Arial" w:cs="Arial"/>
                <w:b/>
              </w:rPr>
            </w:pPr>
            <w:r w:rsidRPr="00F26A36">
              <w:rPr>
                <w:rFonts w:ascii="Arial" w:hAnsi="Arial" w:cs="Arial"/>
                <w:b/>
              </w:rPr>
              <w:t>P/2024/0110</w:t>
            </w:r>
          </w:p>
        </w:tc>
      </w:tr>
      <w:tr w:rsidR="00F26A36" w:rsidRPr="00F26A36" w:rsidTr="0056653A">
        <w:trPr>
          <w:trHeight w:val="1353"/>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Site Name:</w:t>
            </w:r>
          </w:p>
          <w:p w:rsidR="00F26A36" w:rsidRPr="00F26A36" w:rsidRDefault="00F26A36" w:rsidP="00F26A36">
            <w:pPr>
              <w:spacing w:after="200" w:line="276" w:lineRule="auto"/>
              <w:rPr>
                <w:rFonts w:ascii="Arial" w:eastAsia="Times New Roman" w:hAnsi="Arial" w:cs="Arial"/>
                <w:b/>
              </w:rPr>
            </w:pPr>
          </w:p>
        </w:tc>
        <w:tc>
          <w:tcPr>
            <w:tcW w:w="6549" w:type="dxa"/>
            <w:gridSpan w:val="5"/>
          </w:tcPr>
          <w:p w:rsidR="00F26A36" w:rsidRPr="00F26A36" w:rsidRDefault="00F26A36" w:rsidP="00F26A36">
            <w:pPr>
              <w:spacing w:after="200" w:line="276" w:lineRule="auto"/>
              <w:rPr>
                <w:rFonts w:ascii="Arial" w:eastAsia="Times New Roman" w:hAnsi="Arial" w:cs="Arial"/>
                <w:b/>
              </w:rPr>
            </w:pPr>
            <w:r w:rsidRPr="00F26A36">
              <w:rPr>
                <w:rFonts w:ascii="Arial" w:hAnsi="Arial" w:cs="Arial"/>
                <w:b/>
                <w:lang w:eastAsia="en-GB"/>
              </w:rPr>
              <w:t>58A HOPE STREET   WREXHAM     LL11 1BE</w:t>
            </w:r>
          </w:p>
        </w:tc>
      </w:tr>
      <w:tr w:rsidR="00F26A36" w:rsidRPr="00F26A36" w:rsidTr="0056653A">
        <w:trPr>
          <w:trHeight w:val="948"/>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Description of development:</w:t>
            </w:r>
          </w:p>
          <w:p w:rsidR="00F26A36" w:rsidRPr="00F26A36" w:rsidRDefault="00F26A36" w:rsidP="00F26A36">
            <w:pPr>
              <w:spacing w:after="200" w:line="276" w:lineRule="auto"/>
              <w:rPr>
                <w:rFonts w:ascii="Arial" w:eastAsia="Times New Roman" w:hAnsi="Arial" w:cs="Arial"/>
                <w:b/>
              </w:rPr>
            </w:pPr>
          </w:p>
        </w:tc>
        <w:tc>
          <w:tcPr>
            <w:tcW w:w="6549" w:type="dxa"/>
            <w:gridSpan w:val="5"/>
          </w:tcPr>
          <w:p w:rsidR="00B463C1" w:rsidRPr="00344320" w:rsidRDefault="00B463C1" w:rsidP="00B463C1">
            <w:pPr>
              <w:rPr>
                <w:rFonts w:ascii="Arial" w:hAnsi="Arial" w:cs="Arial"/>
                <w:b/>
              </w:rPr>
            </w:pPr>
          </w:p>
          <w:p w:rsidR="00F26A36" w:rsidRPr="00F26A36" w:rsidRDefault="00F26A36" w:rsidP="00F26A36">
            <w:pPr>
              <w:spacing w:after="200" w:line="276" w:lineRule="auto"/>
              <w:rPr>
                <w:rFonts w:ascii="Arial" w:hAnsi="Arial" w:cs="Arial"/>
                <w:b/>
              </w:rPr>
            </w:pPr>
            <w:r w:rsidRPr="00F26A36">
              <w:rPr>
                <w:rFonts w:ascii="Arial" w:hAnsi="Arial" w:cs="Arial"/>
                <w:b/>
                <w:lang w:eastAsia="en-GB"/>
              </w:rPr>
              <w:t>/ NEWID LLORIAU UCHAF O DDEFNYDD MASNACHOL I 1 RHANDY / CONVERSION OF UPPER FLOORS FROM COMMERCIAL USE TO 1 NO APARTMENT</w:t>
            </w:r>
          </w:p>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 xml:space="preserve">SAC River catchment </w:t>
            </w:r>
          </w:p>
        </w:tc>
        <w:tc>
          <w:tcPr>
            <w:tcW w:w="6549" w:type="dxa"/>
            <w:gridSpan w:val="5"/>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River Dee</w:t>
            </w:r>
          </w:p>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416"/>
        </w:trPr>
        <w:tc>
          <w:tcPr>
            <w:tcW w:w="9351" w:type="dxa"/>
            <w:gridSpan w:val="8"/>
          </w:tcPr>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416"/>
        </w:trPr>
        <w:tc>
          <w:tcPr>
            <w:tcW w:w="9351" w:type="dxa"/>
            <w:gridSpan w:val="8"/>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lastRenderedPageBreak/>
              <w:t>Phosphate inputs</w:t>
            </w:r>
            <w:r w:rsidRPr="00F26A36">
              <w:rPr>
                <w:rFonts w:ascii="Arial" w:eastAsia="Times New Roman" w:hAnsi="Arial" w:cs="Arial"/>
              </w:rPr>
              <w:t>: NRW have advised that the following types of development are unlikely to increase phosphate inputs:</w:t>
            </w:r>
          </w:p>
        </w:tc>
      </w:tr>
      <w:tr w:rsidR="00F26A36" w:rsidRPr="00F26A36" w:rsidTr="0056653A">
        <w:trPr>
          <w:trHeight w:val="416"/>
        </w:trPr>
        <w:tc>
          <w:tcPr>
            <w:tcW w:w="9351" w:type="dxa"/>
            <w:gridSpan w:val="8"/>
          </w:tcPr>
          <w:p w:rsidR="00F26A36" w:rsidRPr="00F26A36" w:rsidRDefault="00F26A36" w:rsidP="00F26A36">
            <w:pPr>
              <w:spacing w:after="200" w:line="276" w:lineRule="auto"/>
              <w:rPr>
                <w:rFonts w:ascii="Arial" w:eastAsia="Times New Roman" w:hAnsi="Arial" w:cs="Arial"/>
                <w:b/>
              </w:rPr>
            </w:pP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Type of development - NRW criteria:</w:t>
            </w:r>
          </w:p>
        </w:tc>
        <w:tc>
          <w:tcPr>
            <w:tcW w:w="2268"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Relevant information:</w:t>
            </w:r>
          </w:p>
        </w:tc>
        <w:tc>
          <w:tcPr>
            <w:tcW w:w="2410" w:type="dxa"/>
            <w:gridSpan w:val="2"/>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Comments / observations:</w:t>
            </w: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 xml:space="preserve">Criterion satisfied: </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1.</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Any development that does not increase the volume or concentration of wastewater;</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Yes/No/</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2.</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Any development which improves existing water quality discharges by reducing the phosphate load of wastewater, or by decreasing the volume of wastewater produced (e.g. by improvements to existing wastewater treatment infrastructure);</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Yes/No/</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896FCB" w:rsidRPr="00F26A36" w:rsidTr="0056653A">
        <w:tc>
          <w:tcPr>
            <w:tcW w:w="400" w:type="dxa"/>
          </w:tcPr>
          <w:p w:rsidR="00896FCB" w:rsidRPr="00F26A36" w:rsidRDefault="00896FCB" w:rsidP="00896FCB">
            <w:pPr>
              <w:spacing w:after="200" w:line="276" w:lineRule="auto"/>
              <w:rPr>
                <w:rFonts w:ascii="Arial" w:eastAsia="Times New Roman" w:hAnsi="Arial" w:cs="Arial"/>
              </w:rPr>
            </w:pPr>
            <w:r w:rsidRPr="00F26A36">
              <w:rPr>
                <w:rFonts w:ascii="Arial" w:eastAsia="Times New Roman" w:hAnsi="Arial" w:cs="Arial"/>
              </w:rPr>
              <w:t>3.</w:t>
            </w:r>
          </w:p>
        </w:tc>
        <w:tc>
          <w:tcPr>
            <w:tcW w:w="2997" w:type="dxa"/>
            <w:gridSpan w:val="3"/>
          </w:tcPr>
          <w:p w:rsidR="00896FCB" w:rsidRPr="00F26A36" w:rsidRDefault="00896FCB" w:rsidP="00896FCB">
            <w:pPr>
              <w:spacing w:after="200" w:line="276" w:lineRule="auto"/>
              <w:rPr>
                <w:rFonts w:ascii="Arial" w:eastAsia="Times New Roman" w:hAnsi="Arial" w:cs="Arial"/>
              </w:rPr>
            </w:pPr>
            <w:r w:rsidRPr="00F26A36">
              <w:rPr>
                <w:rFonts w:ascii="Arial" w:eastAsia="Times New Roman" w:hAnsi="Arial" w:cs="Arial"/>
              </w:rPr>
              <w:t>Any development connecting to a public wastewater treatment works where the permit has phosphate conditions in place and the sewerage undertaker has confirmed that there is capacity to treat the additional wastewater and the additional phosphate from the proposed development;</w:t>
            </w:r>
          </w:p>
        </w:tc>
        <w:tc>
          <w:tcPr>
            <w:tcW w:w="2268" w:type="dxa"/>
          </w:tcPr>
          <w:p w:rsidR="00896FCB" w:rsidRDefault="00896FCB" w:rsidP="00896FCB">
            <w:pPr>
              <w:spacing w:after="200" w:line="276" w:lineRule="auto"/>
              <w:rPr>
                <w:rFonts w:ascii="Arial" w:eastAsia="Times New Roman" w:hAnsi="Arial" w:cs="Arial"/>
              </w:rPr>
            </w:pPr>
            <w:r>
              <w:t>DC/WW response to consultation</w:t>
            </w:r>
          </w:p>
        </w:tc>
        <w:tc>
          <w:tcPr>
            <w:tcW w:w="2410" w:type="dxa"/>
            <w:gridSpan w:val="2"/>
          </w:tcPr>
          <w:p w:rsidR="00896FCB" w:rsidRDefault="00896FCB" w:rsidP="00896FCB">
            <w:pPr>
              <w:spacing w:after="200" w:line="276" w:lineRule="auto"/>
              <w:rPr>
                <w:rFonts w:ascii="Arial" w:eastAsia="Times New Roman" w:hAnsi="Arial" w:cs="Arial"/>
              </w:rPr>
            </w:pPr>
            <w:r>
              <w:t xml:space="preserve">DC/WW confirm capacity exists within the public sewerage network in order to receive the domestic foul only flows from the proposed development site. DC/WW advise that Five Fords </w:t>
            </w:r>
            <w:proofErr w:type="spellStart"/>
            <w:r>
              <w:t>WwTW</w:t>
            </w:r>
            <w:proofErr w:type="spellEnd"/>
            <w:r>
              <w:t xml:space="preserve"> has a phosphate permit.</w:t>
            </w:r>
          </w:p>
        </w:tc>
        <w:tc>
          <w:tcPr>
            <w:tcW w:w="1276" w:type="dxa"/>
          </w:tcPr>
          <w:p w:rsidR="00896FCB" w:rsidRPr="00F26A36" w:rsidRDefault="00896FCB" w:rsidP="00896FCB">
            <w:pPr>
              <w:spacing w:after="200" w:line="276" w:lineRule="auto"/>
              <w:rPr>
                <w:rFonts w:ascii="Arial" w:eastAsia="Times New Roman" w:hAnsi="Arial" w:cs="Arial"/>
              </w:rPr>
            </w:pPr>
            <w:r>
              <w:rPr>
                <w:rFonts w:ascii="Arial" w:eastAsia="Times New Roman" w:hAnsi="Arial" w:cs="Arial"/>
              </w:rPr>
              <w:t>Yes</w:t>
            </w:r>
          </w:p>
          <w:p w:rsidR="00896FCB" w:rsidRPr="00F26A36" w:rsidRDefault="00896FCB" w:rsidP="00896FCB">
            <w:pPr>
              <w:spacing w:after="200" w:line="276" w:lineRule="auto"/>
              <w:rPr>
                <w:rFonts w:ascii="Arial" w:eastAsia="Times New Roman" w:hAnsi="Arial" w:cs="Arial"/>
              </w:rPr>
            </w:pP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4.</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Private sewage treatment systems discharging domestic wastewater to ground into drainage fields constructed to the relevant British Standards and which are located more than 50m from the SAC (or a hydrological pathway to the SAC), and which have a daily discharge rate of less than 2 cubic metres (m³)</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Yes/No/</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lastRenderedPageBreak/>
              <w:t>5.</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Development to an existing residential property (e.g. extensions) that does not increase occupancy or the volume of drainage.</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Yes/No/</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F26A36" w:rsidRPr="00F26A36" w:rsidTr="0056653A">
        <w:trPr>
          <w:trHeight w:val="319"/>
        </w:trPr>
        <w:tc>
          <w:tcPr>
            <w:tcW w:w="9351" w:type="dxa"/>
            <w:gridSpan w:val="8"/>
          </w:tcPr>
          <w:p w:rsidR="00F26A36" w:rsidRPr="00F26A36" w:rsidRDefault="00F26A36" w:rsidP="00F26A36">
            <w:pPr>
              <w:spacing w:after="200" w:line="276" w:lineRule="auto"/>
              <w:rPr>
                <w:rFonts w:ascii="Arial" w:eastAsia="Times New Roman" w:hAnsi="Arial" w:cs="Arial"/>
              </w:rPr>
            </w:pPr>
          </w:p>
        </w:tc>
      </w:tr>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Wrexham CBC concludes that:</w:t>
            </w:r>
          </w:p>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(delete as applicable)</w:t>
            </w:r>
          </w:p>
          <w:p w:rsidR="00F26A36" w:rsidRPr="00F26A36" w:rsidRDefault="00F26A36" w:rsidP="00F26A36">
            <w:pPr>
              <w:spacing w:after="200" w:line="276" w:lineRule="auto"/>
              <w:rPr>
                <w:rFonts w:ascii="Arial" w:eastAsia="Times New Roman" w:hAnsi="Arial" w:cs="Arial"/>
              </w:rPr>
            </w:pPr>
          </w:p>
        </w:tc>
        <w:tc>
          <w:tcPr>
            <w:tcW w:w="6549" w:type="dxa"/>
            <w:gridSpan w:val="5"/>
          </w:tcPr>
          <w:p w:rsidR="00896FCB" w:rsidRPr="00896FCB" w:rsidRDefault="00F26A36" w:rsidP="00896FCB">
            <w:pPr>
              <w:spacing w:after="200" w:line="276" w:lineRule="auto"/>
              <w:rPr>
                <w:rFonts w:ascii="Arial" w:eastAsia="Times New Roman" w:hAnsi="Arial" w:cs="Arial"/>
                <w:b/>
              </w:rPr>
            </w:pPr>
            <w:r w:rsidRPr="00F26A36">
              <w:rPr>
                <w:rFonts w:ascii="Arial" w:eastAsia="Times New Roman" w:hAnsi="Arial" w:cs="Arial"/>
                <w:b/>
              </w:rPr>
              <w:t>Increases in phosphate inputs in the River Dee can be ruled out as a result</w:t>
            </w:r>
            <w:r w:rsidR="00896FCB">
              <w:rPr>
                <w:rFonts w:ascii="Arial" w:eastAsia="Times New Roman" w:hAnsi="Arial" w:cs="Arial"/>
                <w:b/>
              </w:rPr>
              <w:t xml:space="preserve"> of this development proposal.</w:t>
            </w:r>
            <w:bookmarkStart w:id="0" w:name="_GoBack"/>
            <w:bookmarkEnd w:id="0"/>
          </w:p>
          <w:p w:rsidR="00F26A36" w:rsidRPr="00F26A36" w:rsidRDefault="00F26A36" w:rsidP="00F26A36">
            <w:pPr>
              <w:spacing w:after="200" w:line="276" w:lineRule="auto"/>
              <w:rPr>
                <w:rFonts w:ascii="Arial" w:eastAsia="Times New Roman" w:hAnsi="Arial" w:cs="Arial"/>
              </w:rPr>
            </w:pPr>
          </w:p>
        </w:tc>
      </w:tr>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p>
        </w:tc>
        <w:tc>
          <w:tcPr>
            <w:tcW w:w="6549" w:type="dxa"/>
            <w:gridSpan w:val="5"/>
          </w:tcPr>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510"/>
        </w:trPr>
        <w:tc>
          <w:tcPr>
            <w:tcW w:w="9351" w:type="dxa"/>
            <w:gridSpan w:val="8"/>
          </w:tcPr>
          <w:p w:rsidR="00F26A36" w:rsidRPr="00F26A36" w:rsidRDefault="00F26A36" w:rsidP="00F26A36">
            <w:pPr>
              <w:spacing w:after="200" w:line="276" w:lineRule="auto"/>
              <w:rPr>
                <w:rFonts w:ascii="Arial" w:eastAsia="Times New Roman" w:hAnsi="Arial" w:cs="Arial"/>
                <w:u w:val="single"/>
              </w:rPr>
            </w:pPr>
            <w:r w:rsidRPr="00F26A36">
              <w:rPr>
                <w:rFonts w:ascii="Arial" w:eastAsia="Times New Roman" w:hAnsi="Arial" w:cs="Arial"/>
                <w:u w:val="single"/>
              </w:rPr>
              <w:t>Where increases in phosphate inputs in the SAC can be ruled out as a result of this development, the following wording is to be read in conjunction with the Officer’s report:</w:t>
            </w:r>
          </w:p>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510"/>
        </w:trPr>
        <w:tc>
          <w:tcPr>
            <w:tcW w:w="9351" w:type="dxa"/>
            <w:gridSpan w:val="8"/>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Under the Habitats Regulations, where a plan or project is likely to have a significant effect on a European site, either alone or in combination with other plans or projects, and where it is not directly connected with or necessary to the management of the site previously (designated pursuant to EU retained law) the competent authority must carry out an appropriate assessment of the implication of the plan or project in view of the site’s conservation objectives. Natural Resources Wales has set new phosphate standards for the river SACs in Wales. Any proposed development within the SAC catchments that might increase the amount of phosphate within the catchment could lead to additional damaging effects to the SAC features and therefore such proposals must be screened through a HRA to determine whether they are likely to have a significant effect on the SAC condition.</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This application has been screened in accordance with Natural Resources Wales’ interim advice for planning applications within the river Special Areas of Conservation (SACs) catchments (issued on 20</w:t>
            </w:r>
            <w:r w:rsidRPr="00F26A36">
              <w:rPr>
                <w:rFonts w:ascii="Arial" w:eastAsia="Times New Roman" w:hAnsi="Arial" w:cs="Arial"/>
                <w:vertAlign w:val="superscript"/>
              </w:rPr>
              <w:t>th</w:t>
            </w:r>
            <w:r w:rsidRPr="00F26A36">
              <w:rPr>
                <w:rFonts w:ascii="Arial" w:eastAsia="Times New Roman" w:hAnsi="Arial" w:cs="Arial"/>
              </w:rPr>
              <w:t xml:space="preserve"> January 2021). It is considered that this development is unlikely to increase phosphate inputs as it falls within the criterion in the interim advice set out above.</w:t>
            </w:r>
          </w:p>
        </w:tc>
      </w:tr>
      <w:tr w:rsidR="00F26A36" w:rsidRPr="00F26A36" w:rsidTr="0056653A">
        <w:trPr>
          <w:trHeight w:val="297"/>
        </w:trPr>
        <w:tc>
          <w:tcPr>
            <w:tcW w:w="1413" w:type="dxa"/>
            <w:gridSpan w:val="2"/>
          </w:tcPr>
          <w:p w:rsidR="00F26A36" w:rsidRPr="00F26A36" w:rsidRDefault="00F26A36" w:rsidP="00F26A36">
            <w:pPr>
              <w:spacing w:after="200" w:line="276" w:lineRule="auto"/>
              <w:rPr>
                <w:rFonts w:ascii="Gill Sans MT" w:eastAsia="Times New Roman" w:hAnsi="Gill Sans MT" w:cs="Times New Roman"/>
                <w:b/>
              </w:rPr>
            </w:pPr>
          </w:p>
        </w:tc>
        <w:tc>
          <w:tcPr>
            <w:tcW w:w="1389" w:type="dxa"/>
          </w:tcPr>
          <w:p w:rsidR="00F26A36" w:rsidRPr="00F26A36" w:rsidRDefault="00F26A36" w:rsidP="00F26A36">
            <w:pPr>
              <w:spacing w:after="200" w:line="276" w:lineRule="auto"/>
              <w:rPr>
                <w:rFonts w:ascii="Gill Sans MT" w:eastAsia="Times New Roman" w:hAnsi="Gill Sans MT" w:cs="Times New Roman"/>
              </w:rPr>
            </w:pPr>
            <w:r w:rsidRPr="00F26A36">
              <w:rPr>
                <w:rFonts w:ascii="Gill Sans MT" w:eastAsia="Times New Roman" w:hAnsi="Gill Sans MT" w:cs="Times New Roman"/>
                <w:b/>
              </w:rPr>
              <w:t>Date</w:t>
            </w:r>
          </w:p>
        </w:tc>
        <w:tc>
          <w:tcPr>
            <w:tcW w:w="6549" w:type="dxa"/>
            <w:gridSpan w:val="5"/>
          </w:tcPr>
          <w:p w:rsidR="00F26A36" w:rsidRPr="00F26A36" w:rsidRDefault="00F26A36" w:rsidP="00F26A36">
            <w:pPr>
              <w:spacing w:after="200" w:line="276" w:lineRule="auto"/>
              <w:rPr>
                <w:rFonts w:ascii="Gill Sans MT" w:eastAsia="Times New Roman" w:hAnsi="Gill Sans MT" w:cs="Times New Roman"/>
                <w:b/>
                <w:bCs/>
              </w:rPr>
            </w:pPr>
            <w:r w:rsidRPr="00F26A36">
              <w:rPr>
                <w:rFonts w:ascii="Gill Sans MT" w:eastAsia="Times New Roman" w:hAnsi="Gill Sans MT" w:cs="Times New Roman"/>
                <w:b/>
                <w:bCs/>
              </w:rPr>
              <w:t>Officer</w:t>
            </w:r>
          </w:p>
        </w:tc>
      </w:tr>
      <w:tr w:rsidR="00F26A36" w:rsidRPr="00F26A36" w:rsidTr="0056653A">
        <w:trPr>
          <w:trHeight w:val="510"/>
        </w:trPr>
        <w:tc>
          <w:tcPr>
            <w:tcW w:w="1413" w:type="dxa"/>
            <w:gridSpan w:val="2"/>
          </w:tcPr>
          <w:p w:rsidR="00F26A36" w:rsidRPr="00F26A36" w:rsidRDefault="00F26A36" w:rsidP="00F26A36">
            <w:pPr>
              <w:spacing w:after="200" w:line="276" w:lineRule="auto"/>
              <w:rPr>
                <w:rFonts w:ascii="Gill Sans MT" w:eastAsia="Times New Roman" w:hAnsi="Gill Sans MT" w:cs="Times New Roman"/>
                <w:b/>
              </w:rPr>
            </w:pPr>
            <w:bookmarkStart w:id="1" w:name="_Hlk61262045"/>
            <w:r w:rsidRPr="00F26A36">
              <w:rPr>
                <w:rFonts w:ascii="Gill Sans MT" w:eastAsia="Times New Roman" w:hAnsi="Gill Sans MT" w:cs="Times New Roman"/>
                <w:b/>
              </w:rPr>
              <w:t>Completed by</w:t>
            </w:r>
          </w:p>
          <w:p w:rsidR="00F26A36" w:rsidRPr="00F26A36" w:rsidRDefault="00F26A36" w:rsidP="00F26A36">
            <w:pPr>
              <w:spacing w:after="200" w:line="276" w:lineRule="auto"/>
              <w:rPr>
                <w:rFonts w:ascii="Gill Sans MT" w:eastAsia="Times New Roman" w:hAnsi="Gill Sans MT" w:cs="Times New Roman"/>
                <w:b/>
              </w:rPr>
            </w:pPr>
          </w:p>
        </w:tc>
        <w:tc>
          <w:tcPr>
            <w:tcW w:w="1389" w:type="dxa"/>
          </w:tcPr>
          <w:p w:rsidR="00F26A36" w:rsidRPr="00F26A36" w:rsidRDefault="00F26A36" w:rsidP="00F26A36">
            <w:pPr>
              <w:spacing w:after="200" w:line="276" w:lineRule="auto"/>
              <w:rPr>
                <w:rFonts w:ascii="Gill Sans MT" w:eastAsia="Times New Roman" w:hAnsi="Gill Sans MT" w:cs="Times New Roman"/>
              </w:rPr>
            </w:pPr>
          </w:p>
        </w:tc>
        <w:tc>
          <w:tcPr>
            <w:tcW w:w="3260" w:type="dxa"/>
            <w:gridSpan w:val="3"/>
          </w:tcPr>
          <w:p w:rsidR="00F26A36" w:rsidRPr="00F26A36" w:rsidRDefault="00F26A36" w:rsidP="00F26A36">
            <w:pPr>
              <w:spacing w:after="200" w:line="276" w:lineRule="auto"/>
              <w:rPr>
                <w:rFonts w:ascii="Gill Sans MT" w:eastAsia="Times New Roman" w:hAnsi="Gill Sans MT" w:cs="Times New Roman"/>
              </w:rPr>
            </w:pPr>
            <w:r w:rsidRPr="00F26A36">
              <w:rPr>
                <w:rFonts w:ascii="Gill Sans MT" w:eastAsia="Times New Roman" w:hAnsi="Gill Sans MT" w:cs="Times New Roman"/>
              </w:rPr>
              <w:t xml:space="preserve"> Planning Officer</w:t>
            </w:r>
          </w:p>
        </w:tc>
        <w:tc>
          <w:tcPr>
            <w:tcW w:w="3289" w:type="dxa"/>
            <w:gridSpan w:val="2"/>
          </w:tcPr>
          <w:p w:rsidR="00F26A36" w:rsidRPr="00F26A36" w:rsidRDefault="00F26A36" w:rsidP="00F26A36">
            <w:pPr>
              <w:spacing w:after="200" w:line="276" w:lineRule="auto"/>
              <w:rPr>
                <w:rFonts w:ascii="Gill Sans MT" w:eastAsia="Times New Roman" w:hAnsi="Gill Sans MT" w:cs="Times New Roman"/>
              </w:rPr>
            </w:pPr>
            <w:r w:rsidRPr="008A3AC8">
              <w:rPr>
                <w:rFonts w:ascii="Blackadder ITC" w:hAnsi="Blackadder ITC" w:cs="Arial"/>
              </w:rPr>
              <w:t>Sarah Hill</w:t>
            </w:r>
          </w:p>
        </w:tc>
      </w:tr>
      <w:tr w:rsidR="00F26A36" w:rsidRPr="00F26A36" w:rsidTr="0056653A">
        <w:trPr>
          <w:trHeight w:val="510"/>
        </w:trPr>
        <w:tc>
          <w:tcPr>
            <w:tcW w:w="1413" w:type="dxa"/>
            <w:gridSpan w:val="2"/>
          </w:tcPr>
          <w:p w:rsidR="00F26A36" w:rsidRPr="00F26A36" w:rsidRDefault="00F26A36" w:rsidP="00F26A36">
            <w:pPr>
              <w:spacing w:after="200" w:line="276" w:lineRule="auto"/>
              <w:rPr>
                <w:rFonts w:ascii="Gill Sans MT" w:eastAsia="Times New Roman" w:hAnsi="Gill Sans MT" w:cs="Times New Roman"/>
                <w:b/>
              </w:rPr>
            </w:pPr>
            <w:r w:rsidRPr="00F26A36">
              <w:rPr>
                <w:rFonts w:ascii="Gill Sans MT" w:eastAsia="Times New Roman" w:hAnsi="Gill Sans MT" w:cs="Times New Roman"/>
                <w:b/>
              </w:rPr>
              <w:t>Checked by</w:t>
            </w:r>
          </w:p>
        </w:tc>
        <w:tc>
          <w:tcPr>
            <w:tcW w:w="1389" w:type="dxa"/>
          </w:tcPr>
          <w:p w:rsidR="00F26A36" w:rsidRPr="00F26A36" w:rsidRDefault="00F26A36" w:rsidP="00F26A36">
            <w:pPr>
              <w:spacing w:after="200" w:line="276" w:lineRule="auto"/>
              <w:rPr>
                <w:rFonts w:ascii="Gill Sans MT" w:eastAsia="Times New Roman" w:hAnsi="Gill Sans MT" w:cs="Times New Roman"/>
              </w:rPr>
            </w:pPr>
          </w:p>
          <w:p w:rsidR="00F26A36" w:rsidRPr="00F26A36" w:rsidRDefault="00F26A36" w:rsidP="00F26A36">
            <w:pPr>
              <w:spacing w:after="200" w:line="276" w:lineRule="auto"/>
              <w:rPr>
                <w:rFonts w:ascii="Gill Sans MT" w:eastAsia="Times New Roman" w:hAnsi="Gill Sans MT" w:cs="Times New Roman"/>
              </w:rPr>
            </w:pPr>
          </w:p>
        </w:tc>
        <w:tc>
          <w:tcPr>
            <w:tcW w:w="3260" w:type="dxa"/>
            <w:gridSpan w:val="3"/>
          </w:tcPr>
          <w:p w:rsidR="00F26A36" w:rsidRPr="00F26A36" w:rsidRDefault="00F26A36" w:rsidP="00F26A36">
            <w:pPr>
              <w:spacing w:after="200" w:line="276" w:lineRule="auto"/>
              <w:rPr>
                <w:rFonts w:ascii="Gill Sans MT" w:eastAsia="Times New Roman" w:hAnsi="Gill Sans MT" w:cs="Times New Roman"/>
              </w:rPr>
            </w:pPr>
            <w:r w:rsidRPr="00F26A36">
              <w:rPr>
                <w:rFonts w:ascii="Gill Sans MT" w:eastAsia="Times New Roman" w:hAnsi="Gill Sans MT" w:cs="Times New Roman"/>
              </w:rPr>
              <w:t>Planning Control Manager</w:t>
            </w:r>
          </w:p>
        </w:tc>
        <w:tc>
          <w:tcPr>
            <w:tcW w:w="3289" w:type="dxa"/>
            <w:gridSpan w:val="2"/>
          </w:tcPr>
          <w:p w:rsidR="00F26A36" w:rsidRPr="00F26A36" w:rsidRDefault="00F26A36" w:rsidP="00F26A36">
            <w:pPr>
              <w:spacing w:after="200" w:line="276" w:lineRule="auto"/>
              <w:rPr>
                <w:rFonts w:ascii="Gill Sans MT" w:eastAsia="Times New Roman" w:hAnsi="Gill Sans MT" w:cs="Times New Roman"/>
              </w:rPr>
            </w:pPr>
          </w:p>
          <w:p w:rsidR="00F26A36" w:rsidRPr="00F26A36" w:rsidRDefault="00F26A36" w:rsidP="00F26A36">
            <w:pPr>
              <w:spacing w:after="200" w:line="276" w:lineRule="auto"/>
              <w:rPr>
                <w:rFonts w:ascii="Gill Sans MT" w:eastAsia="Times New Roman" w:hAnsi="Gill Sans MT" w:cs="Times New Roman"/>
              </w:rPr>
            </w:pPr>
          </w:p>
          <w:p w:rsidR="00F26A36" w:rsidRPr="00F26A36" w:rsidRDefault="00F26A36" w:rsidP="00F26A36">
            <w:pPr>
              <w:spacing w:after="200" w:line="276" w:lineRule="auto"/>
              <w:rPr>
                <w:rFonts w:ascii="Gill Sans MT" w:eastAsia="Times New Roman" w:hAnsi="Gill Sans MT" w:cs="Times New Roman"/>
              </w:rPr>
            </w:pPr>
          </w:p>
        </w:tc>
      </w:tr>
      <w:bookmarkEnd w:id="1"/>
    </w:tbl>
    <w:p w:rsidR="00F26A36" w:rsidRPr="00F26A36" w:rsidRDefault="00F26A36" w:rsidP="00F26A36">
      <w:pPr>
        <w:spacing w:after="200" w:line="276" w:lineRule="auto"/>
        <w:rPr>
          <w:rFonts w:ascii="Calibri" w:eastAsia="Times New Roman" w:hAnsi="Calibri" w:cs="Times New Roman"/>
        </w:rPr>
      </w:pPr>
    </w:p>
    <w:p w:rsidR="00F26A36" w:rsidRPr="00F26A36" w:rsidRDefault="00F26A36" w:rsidP="00F26A36">
      <w:pPr>
        <w:spacing w:after="200" w:line="276" w:lineRule="auto"/>
        <w:rPr>
          <w:rFonts w:ascii="Calibri" w:eastAsia="Times New Roman" w:hAnsi="Calibri" w:cs="Times New Roman"/>
        </w:rPr>
      </w:pPr>
    </w:p>
    <w:p w:rsidR="00F26A36" w:rsidRPr="00F26A36" w:rsidRDefault="00F26A36" w:rsidP="00F26A36">
      <w:pPr>
        <w:rPr>
          <w:rFonts w:ascii="Calibri" w:eastAsia="Times New Roman" w:hAnsi="Calibri" w:cs="Times New Roman"/>
        </w:rPr>
      </w:pPr>
    </w:p>
    <w:p w:rsidR="00817D68" w:rsidRDefault="00817D68"/>
    <w:sectPr w:rsidR="00817D68" w:rsidSect="00F26A36">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A3B31"/>
    <w:multiLevelType w:val="multilevel"/>
    <w:tmpl w:val="EABE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75623A"/>
    <w:multiLevelType w:val="multilevel"/>
    <w:tmpl w:val="0EDE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323682F"/>
    <w:multiLevelType w:val="multilevel"/>
    <w:tmpl w:val="4594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A36"/>
    <w:rsid w:val="00817D68"/>
    <w:rsid w:val="00896FCB"/>
    <w:rsid w:val="00B463C1"/>
    <w:rsid w:val="00F26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FC0F0"/>
  <w15:chartTrackingRefBased/>
  <w15:docId w15:val="{B18D61A4-DF8E-4DF1-96FD-B5814F7B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c.jncc.gov.uk/species/S109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c.jncc.gov.uk/species/S1831/" TargetMode="External"/><Relationship Id="rId12" Type="http://schemas.openxmlformats.org/officeDocument/2006/relationships/hyperlink" Target="https://sac.jncc.gov.uk/species/S13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c.jncc.gov.uk/species/S1106/" TargetMode="External"/><Relationship Id="rId11" Type="http://schemas.openxmlformats.org/officeDocument/2006/relationships/hyperlink" Target="https://sac.jncc.gov.uk/species/S1163/" TargetMode="External"/><Relationship Id="rId5" Type="http://schemas.openxmlformats.org/officeDocument/2006/relationships/hyperlink" Target="https://sac.jncc.gov.uk/habitat/H3260/" TargetMode="External"/><Relationship Id="rId10" Type="http://schemas.openxmlformats.org/officeDocument/2006/relationships/hyperlink" Target="https://sac.jncc.gov.uk/species/S1099/" TargetMode="External"/><Relationship Id="rId4" Type="http://schemas.openxmlformats.org/officeDocument/2006/relationships/webSettings" Target="webSettings.xml"/><Relationship Id="rId9" Type="http://schemas.openxmlformats.org/officeDocument/2006/relationships/hyperlink" Target="https://sac.jncc.gov.uk/species/S109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salesforceId:cd3e6be5-1739-44e2-acd1-836b1748e17c</dc:subject>
  <dc:creator>Louise Phillips</dc:creator>
  <cp:keywords/>
  <dc:description/>
  <cp:lastModifiedBy>Sarah Hill</cp:lastModifiedBy>
  <cp:revision>3</cp:revision>
  <dcterms:created xsi:type="dcterms:W3CDTF">2024-05-30T18:33:00Z</dcterms:created>
  <dcterms:modified xsi:type="dcterms:W3CDTF">2024-06-26T12:55:00Z</dcterms:modified>
</cp:coreProperties>
</file>