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75" w:rsidRDefault="00033C8E" w:rsidP="00CF3A1C">
      <w:bookmarkStart w:id="0" w:name="_GoBack"/>
      <w:bookmarkEnd w:id="0"/>
      <w:r>
        <w:rPr>
          <w:noProof/>
          <w:lang w:val="en-GB" w:eastAsia="en-GB"/>
        </w:rPr>
        <w:drawing>
          <wp:inline distT="0" distB="0" distL="0" distR="0">
            <wp:extent cx="7486650" cy="1879600"/>
            <wp:effectExtent l="0" t="0" r="0" b="6350"/>
            <wp:docPr id="1" name="Picture 1" descr="SplinterShare:SPL_WORK_IN_PROGRESS:3790.DCS_AONB_letterhea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linterShare:SPL_WORK_IN_PROGRESS:3790.DCS_AONB_letterhead:head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86650" cy="1879600"/>
                    </a:xfrm>
                    <a:prstGeom prst="rect">
                      <a:avLst/>
                    </a:prstGeom>
                    <a:noFill/>
                    <a:ln>
                      <a:noFill/>
                    </a:ln>
                  </pic:spPr>
                </pic:pic>
              </a:graphicData>
            </a:graphic>
          </wp:inline>
        </w:drawing>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5680" behindDoc="0" locked="0" layoutInCell="1" allowOverlap="1">
                <wp:simplePos x="0" y="0"/>
                <wp:positionH relativeFrom="column">
                  <wp:posOffset>685800</wp:posOffset>
                </wp:positionH>
                <wp:positionV relativeFrom="paragraph">
                  <wp:posOffset>172720</wp:posOffset>
                </wp:positionV>
                <wp:extent cx="3771900" cy="571500"/>
                <wp:effectExtent l="0" t="0" r="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5715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B01244">
                              <w:rPr>
                                <w:rFonts w:ascii="Rockwell-Bold" w:hAnsi="Rockwell-Bold" w:cs="Rockwell-Bold"/>
                                <w:b/>
                                <w:bCs/>
                                <w:color w:val="808080"/>
                                <w:sz w:val="16"/>
                                <w:szCs w:val="16"/>
                              </w:rPr>
                              <w:t>10th March</w:t>
                            </w:r>
                            <w:r w:rsidR="00AE056B">
                              <w:rPr>
                                <w:rFonts w:ascii="Rockwell-Bold" w:hAnsi="Rockwell-Bold" w:cs="Rockwell-Bold"/>
                                <w:b/>
                                <w:bCs/>
                                <w:color w:val="808080"/>
                                <w:sz w:val="16"/>
                                <w:szCs w:val="16"/>
                              </w:rPr>
                              <w:t xml:space="preserve"> 202</w:t>
                            </w:r>
                            <w:r w:rsidR="00B01244">
                              <w:rPr>
                                <w:rFonts w:ascii="Rockwell-Bold" w:hAnsi="Rockwell-Bold" w:cs="Rockwell-Bold"/>
                                <w:b/>
                                <w:bCs/>
                                <w:color w:val="808080"/>
                                <w:sz w:val="16"/>
                                <w:szCs w:val="16"/>
                              </w:rPr>
                              <w:t>3</w:t>
                            </w:r>
                          </w:p>
                          <w:p w:rsidR="00176775" w:rsidRDefault="00176775" w:rsidP="00CF3A1C">
                            <w:pPr>
                              <w:spacing w:before="2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54pt;margin-top:13.6pt;width:297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z2tswIAALwFAAAOAAAAZHJzL2Uyb0RvYy54bWysVN1v2jAQf5+0/8HyO03CoJSooUqpmCah&#10;tlo79dk4doma+DzbQFi1/31nJwHW7aXTXpLz3e++Py6vmroiW2FsCSqjyVlMiVAcilI9Z/Tb42Jw&#10;QYl1TBWsAiUyuheWXs0+frjc6VQMYQ1VIQxBI8qmO53RtXM6jSLL16Jm9gy0UCiUYGrm8Gmeo8Kw&#10;HVqvq2gYx+fRDkyhDXBhLXJvWiGdBftSCu7upLTCkSqjGJsLXxO+K/+NZpcsfTZMr0vehcH+IYqa&#10;lQqdHkzdMMfIxpR/mKpLbsCCdGcc6gikLLkIOWA2Sfwmm4c10yLkgsWx+lAm+//M8tvtvSFlkdFz&#10;ShSrsUWPonHkGhoy8dXZaZsi6EEjzDXIxi6HTK1eAn+xCIlOMK2CRbSvRiNN7f+YJ0FFbMD+UHTv&#10;hSPz02SSTGMUcZSNJ8kYaW/0qK2NdZ8F1MQTGTXY1BAB2y6ta6E9xDtTsCirCvksrdRvDLTZckSY&#10;jFabpRgJkh7pYwpde52PJ8N8Mp4OzvNxMhgl8cUgz+Ph4GaRx3k8Wsyno+ufXZy9fqhDm7qviHX7&#10;SrRRfBUSaxwq4BlhusW8MmTLcC4Z50K5pLNWKUR7lMQs3qPY4UMeIb/3KLcV6T2DcgflulRg2o77&#10;pTyGXbz0IcsW301Cl7cvgWtWDTbCkyso9jhCBtoVtJovSmznkll3zwzuHE4A3hF3hx9ZwS6j0FGU&#10;rMH8+Bvf43EVUErJDnc4o/b7hhlBSfVF4ZJMk9HIL314jLCj+DCnktWpRG3qOWA7ErxYmgfS413V&#10;k9JA/YTnJvdeUcQUR98ZdT05d+1lwXPFRZ4HEK65Zm6pHjTvN8cP62PzxIzuJtrhBN1Cv+0sfTPY&#10;Ldb3VUG+cSDLMPXHqnaFxxMR9qY7Z/4Gnb4D6nh0Z78AAAD//wMAUEsDBBQABgAIAAAAIQBYDJMN&#10;2gAAAAoBAAAPAAAAZHJzL2Rvd25yZXYueG1sTE9LTsMwEN0jcQdrkNhRu1nQKsSpqkoVCLEh9ABu&#10;bOIo8diK7SRweoYVLN9H71MdVjey2Uyx9yhhuxHADLZe99hJuHycH/bAYlKo1ejRSPgyEQ717U2l&#10;Su0XfDdzkzpGIRhLJcGmFErOY2uNU3Hjg0HSPv3kVCI4dVxPaqFwN/JCiEfuVI/UYFUwJ2vaoclO&#10;wjk/v7j5m+fw2rQL2jDky9sg5f3denwClsya/szwO5+mQ02brj6jjmwkLPb0JUkodgUwMuxEQcSV&#10;lC0xvK74/wv1DwAAAP//AwBQSwECLQAUAAYACAAAACEAtoM4kv4AAADhAQAAEwAAAAAAAAAAAAAA&#10;AAAAAAAAW0NvbnRlbnRfVHlwZXNdLnhtbFBLAQItABQABgAIAAAAIQA4/SH/1gAAAJQBAAALAAAA&#10;AAAAAAAAAAAAAC8BAABfcmVscy8ucmVsc1BLAQItABQABgAIAAAAIQCnyz2tswIAALwFAAAOAAAA&#10;AAAAAAAAAAAAAC4CAABkcnMvZTJvRG9jLnhtbFBLAQItABQABgAIAAAAIQBYDJMN2gAAAAoBAAAP&#10;AAAAAAAAAAAAAAAAAA0FAABkcnMvZG93bnJldi54bWxQSwUGAAAAAAQABADzAAAAFAYAAAAA&#10;" filled="f" stroked="f">
                <v:path arrowok="t"/>
                <v:textbox>
                  <w:txbxContent>
                    <w:p w:rsidR="00176775" w:rsidRPr="00570B06" w:rsidRDefault="00176775" w:rsidP="00CF3A1C">
                      <w:pPr>
                        <w:pStyle w:val="BasicParagraph"/>
                        <w:tabs>
                          <w:tab w:val="left" w:pos="161"/>
                        </w:tabs>
                        <w:rPr>
                          <w:rFonts w:ascii="Rockwell-Bold" w:hAnsi="Rockwell-Bold" w:cs="Rockwell-Bold"/>
                          <w:b/>
                          <w:bCs/>
                          <w:color w:val="808080"/>
                          <w:sz w:val="16"/>
                          <w:szCs w:val="16"/>
                        </w:rPr>
                      </w:pPr>
                    </w:p>
                    <w:p w:rsidR="00176775" w:rsidRPr="00570B06" w:rsidRDefault="002566E1" w:rsidP="00CF3A1C">
                      <w:pPr>
                        <w:pStyle w:val="BasicParagraph"/>
                        <w:tabs>
                          <w:tab w:val="left" w:pos="161"/>
                        </w:tabs>
                        <w:rPr>
                          <w:rFonts w:ascii="Rockwell-Bold" w:hAnsi="Rockwell-Bold" w:cs="Rockwell-Bold"/>
                          <w:b/>
                          <w:bCs/>
                          <w:color w:val="808080"/>
                          <w:sz w:val="16"/>
                          <w:szCs w:val="16"/>
                        </w:rPr>
                      </w:pPr>
                      <w:r>
                        <w:rPr>
                          <w:rFonts w:ascii="Rockwell-Bold" w:hAnsi="Rockwell-Bold" w:cs="Rockwell-Bold"/>
                          <w:b/>
                          <w:bCs/>
                          <w:color w:val="808080"/>
                          <w:sz w:val="16"/>
                          <w:szCs w:val="16"/>
                        </w:rPr>
                        <w:t xml:space="preserve">Ref </w:t>
                      </w:r>
                      <w:r w:rsidR="00B01244">
                        <w:rPr>
                          <w:rFonts w:ascii="Rockwell-Bold" w:hAnsi="Rockwell-Bold" w:cs="Rockwell-Bold"/>
                          <w:b/>
                          <w:bCs/>
                          <w:color w:val="808080"/>
                          <w:sz w:val="16"/>
                          <w:szCs w:val="16"/>
                        </w:rPr>
                        <w:t>P</w:t>
                      </w:r>
                      <w:r>
                        <w:rPr>
                          <w:rFonts w:ascii="Rockwell-Bold" w:hAnsi="Rockwell-Bold" w:cs="Rockwell-Bold"/>
                          <w:b/>
                          <w:bCs/>
                          <w:color w:val="808080"/>
                          <w:sz w:val="16"/>
                          <w:szCs w:val="16"/>
                        </w:rPr>
                        <w:t>/2022/10</w:t>
                      </w:r>
                      <w:r w:rsidR="00B01244">
                        <w:rPr>
                          <w:rFonts w:ascii="Rockwell-Bold" w:hAnsi="Rockwell-Bold" w:cs="Rockwell-Bold"/>
                          <w:b/>
                          <w:bCs/>
                          <w:color w:val="808080"/>
                          <w:sz w:val="16"/>
                          <w:szCs w:val="16"/>
                        </w:rPr>
                        <w:t>80</w:t>
                      </w:r>
                    </w:p>
                    <w:p w:rsidR="00176775" w:rsidRPr="00570B06" w:rsidRDefault="00176775" w:rsidP="00CF3A1C">
                      <w:pPr>
                        <w:pStyle w:val="BasicParagraph"/>
                        <w:tabs>
                          <w:tab w:val="left" w:pos="161"/>
                        </w:tabs>
                        <w:rPr>
                          <w:rFonts w:ascii="Rockwell-Bold" w:hAnsi="Rockwell-Bold" w:cs="Rockwell-Bold"/>
                          <w:b/>
                          <w:bCs/>
                          <w:color w:val="808080"/>
                          <w:sz w:val="16"/>
                          <w:szCs w:val="16"/>
                        </w:rPr>
                      </w:pPr>
                      <w:r w:rsidRPr="00570B06">
                        <w:rPr>
                          <w:rFonts w:ascii="Rockwell-Bold" w:hAnsi="Rockwell-Bold" w:cs="Rockwell-Bold"/>
                          <w:b/>
                          <w:bCs/>
                          <w:color w:val="808080"/>
                          <w:sz w:val="16"/>
                          <w:szCs w:val="16"/>
                        </w:rPr>
                        <w:t>Dyddiad | Date:</w:t>
                      </w:r>
                      <w:r w:rsidR="00AE056B">
                        <w:rPr>
                          <w:rFonts w:ascii="Rockwell-Bold" w:hAnsi="Rockwell-Bold" w:cs="Rockwell-Bold"/>
                          <w:b/>
                          <w:bCs/>
                          <w:color w:val="808080"/>
                          <w:sz w:val="16"/>
                          <w:szCs w:val="16"/>
                        </w:rPr>
                        <w:t xml:space="preserve"> </w:t>
                      </w:r>
                      <w:r w:rsidR="00B01244">
                        <w:rPr>
                          <w:rFonts w:ascii="Rockwell-Bold" w:hAnsi="Rockwell-Bold" w:cs="Rockwell-Bold"/>
                          <w:b/>
                          <w:bCs/>
                          <w:color w:val="808080"/>
                          <w:sz w:val="16"/>
                          <w:szCs w:val="16"/>
                        </w:rPr>
                        <w:t>10th March</w:t>
                      </w:r>
                      <w:r w:rsidR="00AE056B">
                        <w:rPr>
                          <w:rFonts w:ascii="Rockwell-Bold" w:hAnsi="Rockwell-Bold" w:cs="Rockwell-Bold"/>
                          <w:b/>
                          <w:bCs/>
                          <w:color w:val="808080"/>
                          <w:sz w:val="16"/>
                          <w:szCs w:val="16"/>
                        </w:rPr>
                        <w:t xml:space="preserve"> 202</w:t>
                      </w:r>
                      <w:r w:rsidR="00B01244">
                        <w:rPr>
                          <w:rFonts w:ascii="Rockwell-Bold" w:hAnsi="Rockwell-Bold" w:cs="Rockwell-Bold"/>
                          <w:b/>
                          <w:bCs/>
                          <w:color w:val="808080"/>
                          <w:sz w:val="16"/>
                          <w:szCs w:val="16"/>
                        </w:rPr>
                        <w:t>3</w:t>
                      </w:r>
                    </w:p>
                    <w:p w:rsidR="00176775" w:rsidRDefault="00176775" w:rsidP="00CF3A1C">
                      <w:pPr>
                        <w:spacing w:before="240"/>
                      </w:pP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685800</wp:posOffset>
                </wp:positionH>
                <wp:positionV relativeFrom="paragraph">
                  <wp:posOffset>79375</wp:posOffset>
                </wp:positionV>
                <wp:extent cx="6172200" cy="6172200"/>
                <wp:effectExtent l="0" t="0" r="0" b="0"/>
                <wp:wrapSquare wrapText="bothSides"/>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6172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id="2">
                        <w:txbxContent>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Matthew Phillips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B01244">
                              <w:rPr>
                                <w:rFonts w:ascii="Rockwell" w:hAnsi="Rockwell" w:cs="Rockwell"/>
                                <w:sz w:val="20"/>
                                <w:szCs w:val="20"/>
                              </w:rPr>
                              <w:t>Matthew</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New Access Road, Lorry Park, Weighbridge and Building, Car Park, Facilities block, Roundwood storage areas, 132 KV Substation and Ancillary works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B01244">
                              <w:rPr>
                                <w:rFonts w:ascii="Rockwell" w:hAnsi="Rockwell" w:cs="Rockwell"/>
                                <w:b/>
                                <w:sz w:val="20"/>
                                <w:szCs w:val="20"/>
                              </w:rPr>
                              <w:t>Kronospan Ltd, Holyhead Road, Chirk,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736EB3"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B01244">
                              <w:rPr>
                                <w:rFonts w:ascii="Rockwell" w:hAnsi="Rockwell" w:cs="Rockwell"/>
                                <w:b/>
                                <w:sz w:val="20"/>
                                <w:szCs w:val="20"/>
                              </w:rPr>
                              <w:t xml:space="preserve"> object to this application. The proposed development involves a significant extension of the existing industrial curtilage of Kronospan into adjoining open countryside, a designated Green Barrier and Special Landscape Area. </w:t>
                            </w:r>
                            <w:r w:rsidR="00736EB3">
                              <w:rPr>
                                <w:rFonts w:ascii="Rockwell" w:hAnsi="Rockwell" w:cs="Rockwell"/>
                                <w:b/>
                                <w:sz w:val="20"/>
                                <w:szCs w:val="20"/>
                              </w:rPr>
                              <w:t xml:space="preserve">It is contrary to both existing </w:t>
                            </w:r>
                            <w:r w:rsidR="006D2899">
                              <w:rPr>
                                <w:rFonts w:ascii="Rockwell" w:hAnsi="Rockwell" w:cs="Rockwell"/>
                                <w:b/>
                                <w:sz w:val="20"/>
                                <w:szCs w:val="20"/>
                              </w:rPr>
                              <w:t xml:space="preserve">UDP </w:t>
                            </w:r>
                            <w:r w:rsidR="00736EB3">
                              <w:rPr>
                                <w:rFonts w:ascii="Rockwell" w:hAnsi="Rockwell" w:cs="Rockwell"/>
                                <w:b/>
                                <w:sz w:val="20"/>
                                <w:szCs w:val="20"/>
                              </w:rPr>
                              <w:t xml:space="preserve">and emerging LDP policy. </w:t>
                            </w:r>
                          </w:p>
                          <w:p w:rsidR="00736EB3" w:rsidRDefault="00736EB3" w:rsidP="00033C8E">
                            <w:pPr>
                              <w:pStyle w:val="BasicParagraph"/>
                              <w:tabs>
                                <w:tab w:val="left" w:pos="209"/>
                              </w:tabs>
                              <w:spacing w:line="240" w:lineRule="auto"/>
                              <w:rPr>
                                <w:rFonts w:ascii="Rockwell" w:hAnsi="Rockwell" w:cs="Rockwell"/>
                                <w:b/>
                                <w:sz w:val="20"/>
                                <w:szCs w:val="20"/>
                              </w:rPr>
                            </w:pPr>
                          </w:p>
                          <w:p w:rsidR="00FB53A1" w:rsidRPr="00B56FBD" w:rsidRDefault="00736EB3"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The site lies within close proximity of the AONB boundary and within the buffer zone of the Pontcysyllte Aqueduct and Canal World Heritage site. It is visible from a number of locations within the designated area and would adversely affect its setting and compromise views out from the AONB. As acknowledged in the applicant’s Design &amp; Access statement “the primary purpose of an AONB as set out in the Countryside and Rights of Way Act 2000 is to conserve and enhance natural beauty</w:t>
                            </w:r>
                            <w:r w:rsidR="00D72E51">
                              <w:rPr>
                                <w:rFonts w:ascii="Rockwell" w:hAnsi="Rockwell" w:cs="Rockwell"/>
                                <w:b/>
                                <w:sz w:val="20"/>
                                <w:szCs w:val="20"/>
                              </w:rPr>
                              <w:t xml:space="preserve">. The purpose of an AONB can be affected by change occurring outside of its boundary. As such, potential adverse changes in outward views from within the AONB and indeed changes in views towards the AONB from locations outside the boundary are important factors to be considered in the design process.” The Joint Committee consider this proposal significantly compromises both sets of views. Furthermore, despite the applicant’s </w:t>
                            </w:r>
                            <w:r w:rsidR="00054035">
                              <w:rPr>
                                <w:rFonts w:ascii="Rockwell" w:hAnsi="Rockwell" w:cs="Rockwell"/>
                                <w:b/>
                                <w:sz w:val="20"/>
                                <w:szCs w:val="20"/>
                              </w:rPr>
                              <w:t>acceptance</w:t>
                            </w:r>
                            <w:r w:rsidR="00D72E51">
                              <w:rPr>
                                <w:rFonts w:ascii="Rockwell" w:hAnsi="Rockwell" w:cs="Rockwell"/>
                                <w:b/>
                                <w:sz w:val="20"/>
                                <w:szCs w:val="20"/>
                              </w:rPr>
                              <w:t xml:space="preserve"> that it</w:t>
                            </w:r>
                            <w:r w:rsidR="001D6E83">
                              <w:rPr>
                                <w:rFonts w:ascii="Rockwell" w:hAnsi="Rockwell" w:cs="Rockwell"/>
                                <w:b/>
                                <w:sz w:val="20"/>
                                <w:szCs w:val="20"/>
                              </w:rPr>
                              <w:t xml:space="preserve"> is</w:t>
                            </w:r>
                            <w:r w:rsidR="00D72E51">
                              <w:rPr>
                                <w:rFonts w:ascii="Rockwell" w:hAnsi="Rockwell" w:cs="Rockwell"/>
                                <w:b/>
                                <w:sz w:val="20"/>
                                <w:szCs w:val="20"/>
                              </w:rPr>
                              <w:t xml:space="preserve"> visible from the AONB, no specific measures are proposed to address visual effects from the designated area.</w:t>
                            </w:r>
                            <w:r>
                              <w:rPr>
                                <w:rFonts w:ascii="Rockwell" w:hAnsi="Rockwell" w:cs="Rockwell"/>
                                <w:b/>
                                <w:sz w:val="20"/>
                                <w:szCs w:val="20"/>
                              </w:rPr>
                              <w:t xml:space="preserve"> </w:t>
                            </w:r>
                            <w:r w:rsidR="00B01244">
                              <w:rPr>
                                <w:rFonts w:ascii="Rockwell" w:hAnsi="Rockwell" w:cs="Rockwell"/>
                                <w:b/>
                                <w:sz w:val="20"/>
                                <w:szCs w:val="20"/>
                              </w:rPr>
                              <w:t xml:space="preserve"> </w:t>
                            </w:r>
                          </w:p>
                          <w:p w:rsidR="001C12B9" w:rsidRPr="00B56FBD"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p>
                          <w:p w:rsidR="005B2CE9" w:rsidRDefault="00054035"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By the applicant’s own admission ( Planning Statement ) “the proposal is contrary to UDP/LDP policies in respect of land outside settlement limits/employment areas and Green Barrier/Green Belt.” Other than treating this as an “exceptional case” the only policy justification put forward by the applicants supporting their proposal is LDP Policy EM4. However</w:t>
                            </w:r>
                            <w:r w:rsidR="0047199F">
                              <w:rPr>
                                <w:rFonts w:ascii="Rockwell" w:hAnsi="Rockwell" w:cs="Rockwell"/>
                                <w:b/>
                                <w:sz w:val="20"/>
                                <w:szCs w:val="20"/>
                              </w:rPr>
                              <w:t xml:space="preserve">, </w:t>
                            </w:r>
                            <w:r>
                              <w:rPr>
                                <w:rFonts w:ascii="Rockwell" w:hAnsi="Rockwell" w:cs="Rockwell"/>
                                <w:b/>
                                <w:sz w:val="20"/>
                                <w:szCs w:val="20"/>
                              </w:rPr>
                              <w:t>this policy requires it to be demonstrated that there are no alternatives and that the development forms a logical extension to the existing settlement limit. This application fails on both counts.</w:t>
                            </w:r>
                            <w:r w:rsidR="0047199F">
                              <w:rPr>
                                <w:rFonts w:ascii="Rockwell" w:hAnsi="Rockwell" w:cs="Rockwell"/>
                                <w:b/>
                                <w:sz w:val="20"/>
                                <w:szCs w:val="20"/>
                              </w:rPr>
                              <w:t xml:space="preserve"> </w:t>
                            </w:r>
                          </w:p>
                          <w:p w:rsidR="005B2CE9" w:rsidRDefault="005B2CE9" w:rsidP="00033C8E">
                            <w:pPr>
                              <w:pStyle w:val="BasicParagraph"/>
                              <w:tabs>
                                <w:tab w:val="left" w:pos="209"/>
                              </w:tabs>
                              <w:spacing w:line="240" w:lineRule="auto"/>
                              <w:rPr>
                                <w:rFonts w:ascii="Rockwell" w:hAnsi="Rockwell" w:cs="Rockwell"/>
                                <w:b/>
                                <w:sz w:val="20"/>
                                <w:szCs w:val="20"/>
                              </w:rPr>
                            </w:pPr>
                          </w:p>
                          <w:p w:rsidR="005B2CE9" w:rsidRDefault="0047199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First</w:t>
                            </w:r>
                            <w:r w:rsidR="001D6E83">
                              <w:rPr>
                                <w:rFonts w:ascii="Rockwell" w:hAnsi="Rockwell" w:cs="Rockwell"/>
                                <w:b/>
                                <w:sz w:val="20"/>
                                <w:szCs w:val="20"/>
                              </w:rPr>
                              <w:t xml:space="preserve"> of all</w:t>
                            </w:r>
                            <w:r>
                              <w:rPr>
                                <w:rFonts w:ascii="Rockwell" w:hAnsi="Rockwell" w:cs="Rockwell"/>
                                <w:b/>
                                <w:sz w:val="20"/>
                                <w:szCs w:val="20"/>
                              </w:rPr>
                              <w:t>,</w:t>
                            </w:r>
                            <w:r w:rsidR="001D6E83">
                              <w:rPr>
                                <w:rFonts w:ascii="Rockwell" w:hAnsi="Rockwell" w:cs="Rockwell"/>
                                <w:b/>
                                <w:sz w:val="20"/>
                                <w:szCs w:val="20"/>
                              </w:rPr>
                              <w:t xml:space="preserve"> by its very nature,</w:t>
                            </w:r>
                            <w:r>
                              <w:rPr>
                                <w:rFonts w:ascii="Rockwell" w:hAnsi="Rockwell" w:cs="Rockwell"/>
                                <w:b/>
                                <w:sz w:val="20"/>
                                <w:szCs w:val="20"/>
                              </w:rPr>
                              <w:t xml:space="preserve"> most of the land included within the application site is required for the parking of HGV’s ( 91 spaces ). The area is approximately 4 times greater in size than the existing lorry park. No explanation is provided as to why this increase i</w:t>
                            </w:r>
                            <w:r w:rsidR="001D6E83">
                              <w:rPr>
                                <w:rFonts w:ascii="Rockwell" w:hAnsi="Rockwell" w:cs="Rockwell"/>
                                <w:b/>
                                <w:sz w:val="20"/>
                                <w:szCs w:val="20"/>
                              </w:rPr>
                              <w:t>s</w:t>
                            </w:r>
                            <w:r>
                              <w:rPr>
                                <w:rFonts w:ascii="Rockwell" w:hAnsi="Rockwell" w:cs="Rockwell"/>
                                <w:b/>
                                <w:sz w:val="20"/>
                                <w:szCs w:val="20"/>
                              </w:rPr>
                              <w:t xml:space="preserve"> required, or why this number needs to be accommodated here at any one time. No evidence or consideration of other potential parking sites elsewhere have been provided. Similarly, insufficient information or justification has been provide</w:t>
                            </w:r>
                            <w:r w:rsidR="001664FF">
                              <w:rPr>
                                <w:rFonts w:ascii="Rockwell" w:hAnsi="Rockwell" w:cs="Rockwell"/>
                                <w:b/>
                                <w:sz w:val="20"/>
                                <w:szCs w:val="20"/>
                              </w:rPr>
                              <w:t>d</w:t>
                            </w:r>
                            <w:r>
                              <w:rPr>
                                <w:rFonts w:ascii="Rockwell" w:hAnsi="Rockwell" w:cs="Rockwell"/>
                                <w:b/>
                                <w:sz w:val="20"/>
                                <w:szCs w:val="20"/>
                              </w:rPr>
                              <w:t xml:space="preserve"> as to why other more sustainable transport options available e.g. rail, have not been pursued</w:t>
                            </w:r>
                            <w:r w:rsidR="001664FF">
                              <w:rPr>
                                <w:rFonts w:ascii="Rockwell" w:hAnsi="Rockwell" w:cs="Rockwell"/>
                                <w:b/>
                                <w:sz w:val="20"/>
                                <w:szCs w:val="20"/>
                              </w:rPr>
                              <w:t xml:space="preserve"> further. </w:t>
                            </w:r>
                          </w:p>
                          <w:p w:rsidR="005B2CE9" w:rsidRDefault="005B2CE9" w:rsidP="00033C8E">
                            <w:pPr>
                              <w:pStyle w:val="BasicParagraph"/>
                              <w:tabs>
                                <w:tab w:val="left" w:pos="209"/>
                              </w:tabs>
                              <w:spacing w:line="240" w:lineRule="auto"/>
                              <w:rPr>
                                <w:rFonts w:ascii="Rockwell" w:hAnsi="Rockwell" w:cs="Rockwell"/>
                                <w:b/>
                                <w:sz w:val="20"/>
                                <w:szCs w:val="20"/>
                              </w:rPr>
                            </w:pPr>
                          </w:p>
                          <w:p w:rsidR="001D6E83" w:rsidRDefault="001664F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Secondly, the extended area does not form</w:t>
                            </w:r>
                            <w:r w:rsidR="001D6E83">
                              <w:rPr>
                                <w:rFonts w:ascii="Rockwell" w:hAnsi="Rockwell" w:cs="Rockwell"/>
                                <w:b/>
                                <w:sz w:val="20"/>
                                <w:szCs w:val="20"/>
                              </w:rPr>
                              <w:t xml:space="preserve"> </w:t>
                            </w:r>
                            <w:r>
                              <w:rPr>
                                <w:rFonts w:ascii="Rockwell" w:hAnsi="Rockwell" w:cs="Rockwell"/>
                                <w:b/>
                                <w:sz w:val="20"/>
                                <w:szCs w:val="20"/>
                              </w:rPr>
                              <w:t>a logical extension to the existing settlement limit. It is not rounding off, neither does it follow a natural physical fo</w:t>
                            </w:r>
                            <w:r w:rsidR="001D6E83">
                              <w:rPr>
                                <w:rFonts w:ascii="Rockwell" w:hAnsi="Rockwell" w:cs="Rockwell"/>
                                <w:b/>
                                <w:sz w:val="20"/>
                                <w:szCs w:val="20"/>
                              </w:rPr>
                              <w:t>r</w:t>
                            </w:r>
                            <w:r>
                              <w:rPr>
                                <w:rFonts w:ascii="Rockwell" w:hAnsi="Rockwell" w:cs="Rockwell"/>
                                <w:b/>
                                <w:sz w:val="20"/>
                                <w:szCs w:val="20"/>
                              </w:rPr>
                              <w:t xml:space="preserve">m/feature/boundary and constitutes an unnatural spur of development into the open countryside. It would be seen as incongruous and would establish an undesirable precedent, increasing the vulnerability of land to the west of Afon Bradley ( closer to the AONB &amp; WHS ) to further industrial development in future. Whilst the existing Kronospan site is extremely large scale, it is nevertheless relatively well contained within the existing </w:t>
                            </w:r>
                            <w:r w:rsidR="001D6E83">
                              <w:rPr>
                                <w:rFonts w:ascii="Rockwell" w:hAnsi="Rockwell" w:cs="Rockwell"/>
                                <w:b/>
                                <w:sz w:val="20"/>
                                <w:szCs w:val="20"/>
                              </w:rPr>
                              <w:t xml:space="preserve">landscape </w:t>
                            </w:r>
                            <w:r>
                              <w:rPr>
                                <w:rFonts w:ascii="Rockwell" w:hAnsi="Rockwell" w:cs="Rockwell"/>
                                <w:b/>
                                <w:sz w:val="20"/>
                                <w:szCs w:val="20"/>
                              </w:rPr>
                              <w:t xml:space="preserve">setting. Approving this application would significantly compromise the existing relationship by adding an unnatural spur of development at the entrance to the village. </w:t>
                            </w:r>
                          </w:p>
                          <w:p w:rsidR="001D6E83" w:rsidRDefault="001D6E83" w:rsidP="00033C8E">
                            <w:pPr>
                              <w:pStyle w:val="BasicParagraph"/>
                              <w:tabs>
                                <w:tab w:val="left" w:pos="209"/>
                              </w:tabs>
                              <w:spacing w:line="240" w:lineRule="auto"/>
                              <w:rPr>
                                <w:rFonts w:ascii="Rockwell" w:hAnsi="Rockwell" w:cs="Rockwell"/>
                                <w:b/>
                                <w:sz w:val="20"/>
                                <w:szCs w:val="20"/>
                              </w:rPr>
                            </w:pPr>
                          </w:p>
                          <w:p w:rsidR="001C12B9" w:rsidRPr="00B56FBD" w:rsidRDefault="001D6E83"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The applicants state that the principle objective is to provide an alternative access road to the north which will provide environmental benefits to the village. The benefits of removing HGV movements along Holyhead Road through Chirk, in terms of reducing noise and disturbance, dust, vibration and improving air quality are acknowledged and indeed welcomed. </w:t>
                            </w:r>
                            <w:r w:rsidR="00783E4A">
                              <w:rPr>
                                <w:rFonts w:ascii="Rockwell" w:hAnsi="Rockwell" w:cs="Rockwell"/>
                                <w:b/>
                                <w:sz w:val="20"/>
                                <w:szCs w:val="20"/>
                              </w:rPr>
                              <w:t>However</w:t>
                            </w:r>
                            <w:r w:rsidR="006D2899">
                              <w:rPr>
                                <w:rFonts w:ascii="Rockwell" w:hAnsi="Rockwell" w:cs="Rockwell"/>
                                <w:b/>
                                <w:sz w:val="20"/>
                                <w:szCs w:val="20"/>
                              </w:rPr>
                              <w:t>,</w:t>
                            </w:r>
                            <w:r w:rsidR="00783E4A">
                              <w:rPr>
                                <w:rFonts w:ascii="Rockwell" w:hAnsi="Rockwell" w:cs="Rockwell"/>
                                <w:b/>
                                <w:sz w:val="20"/>
                                <w:szCs w:val="20"/>
                              </w:rPr>
                              <w:t xml:space="preserve"> the extent of the incursion into open countryside is disproportionate and involves a lot more than an alternative access road. Had a scheme with minimal intervention been submitted for a new access road with accompanying landscaping, the Joint Committee may well have supported it. Unfortunately, this is not the case and what we have is an extremely large extension to the industrial curtilage. Once this change of use has occurred it will be extremely difficult to resist </w:t>
                            </w:r>
                            <w:r w:rsidR="006D2899">
                              <w:rPr>
                                <w:rFonts w:ascii="Rockwell" w:hAnsi="Rockwell" w:cs="Rockwell"/>
                                <w:b/>
                                <w:sz w:val="20"/>
                                <w:szCs w:val="20"/>
                              </w:rPr>
                              <w:t xml:space="preserve">further built development and log storage in this area. </w:t>
                            </w:r>
                            <w:r w:rsidR="00783E4A">
                              <w:rPr>
                                <w:rFonts w:ascii="Rockwell" w:hAnsi="Rockwell" w:cs="Rockwell"/>
                                <w:b/>
                                <w:sz w:val="20"/>
                                <w:szCs w:val="20"/>
                              </w:rPr>
                              <w:t xml:space="preserve">   </w:t>
                            </w:r>
                            <w:r w:rsidR="001664FF">
                              <w:rPr>
                                <w:rFonts w:ascii="Rockwell" w:hAnsi="Rockwell" w:cs="Rockwell"/>
                                <w:b/>
                                <w:sz w:val="20"/>
                                <w:szCs w:val="20"/>
                              </w:rPr>
                              <w:t xml:space="preserve">  </w:t>
                            </w:r>
                            <w:r w:rsidR="0047199F">
                              <w:rPr>
                                <w:rFonts w:ascii="Rockwell" w:hAnsi="Rockwell" w:cs="Rockwell"/>
                                <w:b/>
                                <w:sz w:val="20"/>
                                <w:szCs w:val="20"/>
                              </w:rPr>
                              <w:t xml:space="preserve">     </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54pt;margin-top:6.25pt;width:486pt;height:4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LrtQIAAMQFAAAOAAAAZHJzL2Uyb0RvYy54bWysVE1v2zAMvQ/YfxB0T20HSdsYdQo3RYYB&#10;QVusHXpWZKkxaouapMTOhv33UbKdZN0uHXaxJfKRIh8/rq7buiI7YWwJKqPJWUyJUByKUr1k9OvT&#10;cnRJiXVMFawCJTK6F5Zezz9+uGp0KsawgaoQhqATZdNGZ3TjnE6jyPKNqJk9Ay0UKiWYmjm8mpeo&#10;MKxB73UVjeP4PGrAFNoAF9ai9LZT0nnwL6Xg7l5KKxypMoqxufA14bv232h+xdIXw/Sm5H0Y7B+i&#10;qFmp8NGDq1vmGNma8g9XdckNWJDujEMdgZQlFyEHzCaJ32TzuGFahFyQHKsPNNn/55bf7R4MKYuM&#10;TilRrMYSPYnWkRtoyaVnp9E2RdCjRphrUYxVDplavQL+ahESnWA6A4toz0YrTe3/mCdBQyzA/kC6&#10;f4Wj8Dy5GGMlKeGoGy7e69FcG+s+CaiJP2TUYFVDCGy3sq6DDhD/moJlWVUoZ2mlfhOgz04iQmt0&#10;1izFUPDokT6oULYfi+nFOL+Yzkbn+TQZTZL4cpTn8Xh0u8zjPJ4sF7PJzU9PEPoc7AMRXe6eEuv2&#10;leii+CIkkhwo8ILQ3mJRGbJj2JiMc6Fc0nurFKI9SmIW7zHs8SGPkN97jDtGhpdBuYNxXSowXcn9&#10;VB7DLl6HkGWH71uhz9tT4Np1G7orIL1kDcUeW8lAN4pW82WJVV0x6x6YwdnDTsB94u7xIytoMgr9&#10;iZINmO9/k3s8jgRqKWlwljNqv22ZEZRUnxUOyyyZTPzwh8sEC4sXc6pZn2rUtl4AViXBzaV5OHq8&#10;q4ajNFA/49rJ/auoYorj2xl1w3Hhug2Da4uLPA8gHHfN3Eo9aj5MkO/Zp/aZGd03tsNGuoNh6ln6&#10;pr87rC+vgnzrQJah+Y+s9vzjqght2a81v4tO7wF1XL7zXwAAAP//AwBQSwMEFAAGAAgAAAAhAOaJ&#10;6VbbAAAACwEAAA8AAABkcnMvZG93bnJldi54bWxMT01LxDAQvQv+hzCCNzd1caXWposIiyJerPsD&#10;ss3YlDaT0iRt9dc7e9LbvA/evFfuVzeIGafQeVJwu8lAIDXedNQqOH4ebnIQIWoyevCECr4xwL66&#10;vCh1YfxCHzjXsRUcQqHQCmyMYyFlaCw6HTZ+RGLty09OR4ZTK82kFw53g9xm2b10uiP+YPWIzxab&#10;vk5OwSG9vLr5R6bxrW4WsmOfju+9UtdX69MjiIhr/DPDuT5Xh4o7nXwiE8TAOMt5S+RjuwNxNjDB&#10;zEnBQ363A1mV8v+G6hcAAP//AwBQSwECLQAUAAYACAAAACEAtoM4kv4AAADhAQAAEwAAAAAAAAAA&#10;AAAAAAAAAAAAW0NvbnRlbnRfVHlwZXNdLnhtbFBLAQItABQABgAIAAAAIQA4/SH/1gAAAJQBAAAL&#10;AAAAAAAAAAAAAAAAAC8BAABfcmVscy8ucmVsc1BLAQItABQABgAIAAAAIQBd3tLrtQIAAMQFAAAO&#10;AAAAAAAAAAAAAAAAAC4CAABkcnMvZTJvRG9jLnhtbFBLAQItABQABgAIAAAAIQDmielW2wAAAAsB&#10;AAAPAAAAAAAAAAAAAAAAAA8FAABkcnMvZG93bnJldi54bWxQSwUGAAAAAAQABADzAAAAFwYAAAAA&#10;" filled="f" stroked="f">
                <v:path arrowok="t"/>
                <v:textbox style="mso-next-textbox:#Text Box 9">
                  <w:txbxContent>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Matthew Phillips</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Economy and </w:t>
                      </w:r>
                      <w:r w:rsidR="002566E1">
                        <w:rPr>
                          <w:rFonts w:ascii="Rockwell" w:hAnsi="Rockwell" w:cs="Rockwell"/>
                          <w:sz w:val="20"/>
                          <w:szCs w:val="20"/>
                        </w:rPr>
                        <w:t>Planning</w:t>
                      </w:r>
                    </w:p>
                    <w:p w:rsidR="00AE056B"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Wrexham </w:t>
                      </w:r>
                      <w:r w:rsidR="002566E1">
                        <w:rPr>
                          <w:rFonts w:ascii="Rockwell" w:hAnsi="Rockwell" w:cs="Rockwell"/>
                          <w:sz w:val="20"/>
                          <w:szCs w:val="20"/>
                        </w:rPr>
                        <w:t>County</w:t>
                      </w:r>
                      <w:r>
                        <w:rPr>
                          <w:rFonts w:ascii="Rockwell" w:hAnsi="Rockwell" w:cs="Rockwell"/>
                          <w:sz w:val="20"/>
                          <w:szCs w:val="20"/>
                        </w:rPr>
                        <w:t xml:space="preserve"> Borough</w:t>
                      </w:r>
                      <w:r w:rsidR="002566E1">
                        <w:rPr>
                          <w:rFonts w:ascii="Rockwell" w:hAnsi="Rockwell" w:cs="Rockwell"/>
                          <w:sz w:val="20"/>
                          <w:szCs w:val="20"/>
                        </w:rPr>
                        <w:t xml:space="preserve"> Council</w:t>
                      </w:r>
                    </w:p>
                    <w:p w:rsidR="002566E1"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Guildhall</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Wrexham</w:t>
                      </w:r>
                    </w:p>
                    <w:p w:rsidR="00B01244" w:rsidRDefault="00B01244"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LL11 1AY</w:t>
                      </w: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Dear </w:t>
                      </w:r>
                      <w:r w:rsidR="00B01244">
                        <w:rPr>
                          <w:rFonts w:ascii="Rockwell" w:hAnsi="Rockwell" w:cs="Rockwell"/>
                          <w:sz w:val="20"/>
                          <w:szCs w:val="20"/>
                        </w:rPr>
                        <w:t>Matthew</w:t>
                      </w:r>
                      <w:r w:rsidR="00AE056B">
                        <w:rPr>
                          <w:rFonts w:ascii="Rockwell" w:hAnsi="Rockwell" w:cs="Rockwell"/>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E13989"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PROPOSAL:</w:t>
                      </w:r>
                      <w:r w:rsidR="00AE056B">
                        <w:rPr>
                          <w:rFonts w:ascii="Rockwell" w:hAnsi="Rockwell" w:cs="Rockwell"/>
                          <w:b/>
                          <w:sz w:val="20"/>
                          <w:szCs w:val="20"/>
                        </w:rPr>
                        <w:t xml:space="preserve"> </w:t>
                      </w:r>
                      <w:r w:rsidR="00B01244">
                        <w:rPr>
                          <w:rFonts w:ascii="Rockwell" w:hAnsi="Rockwell" w:cs="Rockwell"/>
                          <w:b/>
                          <w:sz w:val="20"/>
                          <w:szCs w:val="20"/>
                        </w:rPr>
                        <w:t xml:space="preserve">Construction of New Access Road, Lorry Park, Weighbridge and Building, Car Park, Facilities block, Roundwood storage areas, 132 KV Substation and Ancillary works </w:t>
                      </w: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        </w:t>
                      </w:r>
                    </w:p>
                    <w:p w:rsidR="00033C8E" w:rsidRPr="00033C8E" w:rsidRDefault="00033C8E" w:rsidP="00033C8E">
                      <w:pPr>
                        <w:pStyle w:val="BasicParagraph"/>
                        <w:tabs>
                          <w:tab w:val="left" w:pos="209"/>
                        </w:tabs>
                        <w:spacing w:line="240" w:lineRule="auto"/>
                        <w:rPr>
                          <w:rFonts w:ascii="Rockwell" w:hAnsi="Rockwell" w:cs="Rockwell"/>
                          <w:b/>
                          <w:sz w:val="20"/>
                          <w:szCs w:val="20"/>
                        </w:rPr>
                      </w:pPr>
                      <w:r w:rsidRPr="00033C8E">
                        <w:rPr>
                          <w:rFonts w:ascii="Rockwell" w:hAnsi="Rockwell" w:cs="Rockwell"/>
                          <w:b/>
                          <w:sz w:val="20"/>
                          <w:szCs w:val="20"/>
                        </w:rPr>
                        <w:t xml:space="preserve">LOCATION: </w:t>
                      </w:r>
                      <w:r w:rsidR="00B01244">
                        <w:rPr>
                          <w:rFonts w:ascii="Rockwell" w:hAnsi="Rockwell" w:cs="Rockwell"/>
                          <w:b/>
                          <w:sz w:val="20"/>
                          <w:szCs w:val="20"/>
                        </w:rPr>
                        <w:t>Kronospan Ltd, Holyhead Road, Chirk, Wrexham</w:t>
                      </w:r>
                    </w:p>
                    <w:p w:rsidR="00033C8E" w:rsidRDefault="00033C8E" w:rsidP="00033C8E">
                      <w:pPr>
                        <w:pStyle w:val="BasicParagraph"/>
                        <w:tabs>
                          <w:tab w:val="left" w:pos="209"/>
                        </w:tabs>
                        <w:spacing w:line="240" w:lineRule="auto"/>
                        <w:rPr>
                          <w:rFonts w:ascii="Rockwell" w:hAnsi="Rockwell" w:cs="Rockwell"/>
                          <w:sz w:val="20"/>
                          <w:szCs w:val="20"/>
                        </w:rPr>
                      </w:pPr>
                    </w:p>
                    <w:p w:rsidR="00AE056B" w:rsidRPr="00033C8E" w:rsidRDefault="00AE056B"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Thank you for consulting with the Joint Committee on </w:t>
                      </w:r>
                      <w:r w:rsidR="002566E1">
                        <w:rPr>
                          <w:rFonts w:ascii="Rockwell" w:hAnsi="Rockwell" w:cs="Rockwell"/>
                          <w:sz w:val="20"/>
                          <w:szCs w:val="20"/>
                        </w:rPr>
                        <w:t>this application</w:t>
                      </w:r>
                      <w:r w:rsidR="00FB53A1">
                        <w:rPr>
                          <w:rFonts w:ascii="Rockwell" w:hAnsi="Rockwell" w:cs="Rockwell"/>
                          <w:sz w:val="20"/>
                          <w:szCs w:val="20"/>
                        </w:rPr>
                        <w:t>. The following observations are submitted on behalf of the Joint Committee.</w:t>
                      </w:r>
                      <w:r w:rsidR="001C12B9">
                        <w:rPr>
                          <w:rFonts w:ascii="Rockwell" w:hAnsi="Rockwell" w:cs="Rockwell"/>
                          <w:sz w:val="20"/>
                          <w:szCs w:val="20"/>
                        </w:rPr>
                        <w:t xml:space="preserve"> </w:t>
                      </w:r>
                      <w:r>
                        <w:rPr>
                          <w:rFonts w:ascii="Rockwell" w:hAnsi="Rockwell" w:cs="Rockwell"/>
                          <w:sz w:val="20"/>
                          <w:szCs w:val="20"/>
                        </w:rPr>
                        <w:t xml:space="preserve"> </w:t>
                      </w:r>
                    </w:p>
                    <w:p w:rsidR="00033C8E" w:rsidRDefault="00033C8E" w:rsidP="00033C8E">
                      <w:pPr>
                        <w:pStyle w:val="BasicParagraph"/>
                        <w:tabs>
                          <w:tab w:val="left" w:pos="209"/>
                        </w:tabs>
                        <w:spacing w:line="240" w:lineRule="auto"/>
                        <w:rPr>
                          <w:rFonts w:ascii="Rockwell" w:hAnsi="Rockwell" w:cs="Rockwell"/>
                          <w:sz w:val="20"/>
                          <w:szCs w:val="20"/>
                        </w:rPr>
                      </w:pPr>
                    </w:p>
                    <w:p w:rsidR="00736EB3"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The Joint Committee</w:t>
                      </w:r>
                      <w:r w:rsidR="00B01244">
                        <w:rPr>
                          <w:rFonts w:ascii="Rockwell" w:hAnsi="Rockwell" w:cs="Rockwell"/>
                          <w:b/>
                          <w:sz w:val="20"/>
                          <w:szCs w:val="20"/>
                        </w:rPr>
                        <w:t xml:space="preserve"> object to this application. The proposed development involves a significant extension of the existing industrial curtilage of Kronospan into adjoining open countryside, a designated Green Barrier and Special Landscape Area. </w:t>
                      </w:r>
                      <w:r w:rsidR="00736EB3">
                        <w:rPr>
                          <w:rFonts w:ascii="Rockwell" w:hAnsi="Rockwell" w:cs="Rockwell"/>
                          <w:b/>
                          <w:sz w:val="20"/>
                          <w:szCs w:val="20"/>
                        </w:rPr>
                        <w:t xml:space="preserve">It is contrary to both existing </w:t>
                      </w:r>
                      <w:r w:rsidR="006D2899">
                        <w:rPr>
                          <w:rFonts w:ascii="Rockwell" w:hAnsi="Rockwell" w:cs="Rockwell"/>
                          <w:b/>
                          <w:sz w:val="20"/>
                          <w:szCs w:val="20"/>
                        </w:rPr>
                        <w:t xml:space="preserve">UDP </w:t>
                      </w:r>
                      <w:r w:rsidR="00736EB3">
                        <w:rPr>
                          <w:rFonts w:ascii="Rockwell" w:hAnsi="Rockwell" w:cs="Rockwell"/>
                          <w:b/>
                          <w:sz w:val="20"/>
                          <w:szCs w:val="20"/>
                        </w:rPr>
                        <w:t xml:space="preserve">and emerging LDP policy. </w:t>
                      </w:r>
                    </w:p>
                    <w:p w:rsidR="00736EB3" w:rsidRDefault="00736EB3" w:rsidP="00033C8E">
                      <w:pPr>
                        <w:pStyle w:val="BasicParagraph"/>
                        <w:tabs>
                          <w:tab w:val="left" w:pos="209"/>
                        </w:tabs>
                        <w:spacing w:line="240" w:lineRule="auto"/>
                        <w:rPr>
                          <w:rFonts w:ascii="Rockwell" w:hAnsi="Rockwell" w:cs="Rockwell"/>
                          <w:b/>
                          <w:sz w:val="20"/>
                          <w:szCs w:val="20"/>
                        </w:rPr>
                      </w:pPr>
                    </w:p>
                    <w:p w:rsidR="00FB53A1" w:rsidRPr="00B56FBD" w:rsidRDefault="00736EB3"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The site lies within close proximity of the AONB boundary and within the buffer zone of the Pontcysyllte Aqueduct and Canal World Heritage site. It is visible from a number of locations within the designated area and would adversely affect its setting and compromise views out from the AONB. As acknowledged in the applicant’s Design &amp; Access statement “the primary purpose of an AONB as set out in the Countryside and Rights of Way Act 2000 is to conserve and enhance natural beauty</w:t>
                      </w:r>
                      <w:r w:rsidR="00D72E51">
                        <w:rPr>
                          <w:rFonts w:ascii="Rockwell" w:hAnsi="Rockwell" w:cs="Rockwell"/>
                          <w:b/>
                          <w:sz w:val="20"/>
                          <w:szCs w:val="20"/>
                        </w:rPr>
                        <w:t xml:space="preserve">. The purpose of an AONB can be affected by change occurring outside of its boundary. As such, potential adverse changes in outward views from within the AONB and indeed changes in views towards the AONB from locations outside the boundary are important factors to be considered in the design process.” The Joint Committee consider this proposal significantly compromises both sets of views. Furthermore, despite the applicant’s </w:t>
                      </w:r>
                      <w:r w:rsidR="00054035">
                        <w:rPr>
                          <w:rFonts w:ascii="Rockwell" w:hAnsi="Rockwell" w:cs="Rockwell"/>
                          <w:b/>
                          <w:sz w:val="20"/>
                          <w:szCs w:val="20"/>
                        </w:rPr>
                        <w:t>acceptance</w:t>
                      </w:r>
                      <w:r w:rsidR="00D72E51">
                        <w:rPr>
                          <w:rFonts w:ascii="Rockwell" w:hAnsi="Rockwell" w:cs="Rockwell"/>
                          <w:b/>
                          <w:sz w:val="20"/>
                          <w:szCs w:val="20"/>
                        </w:rPr>
                        <w:t xml:space="preserve"> that it</w:t>
                      </w:r>
                      <w:r w:rsidR="001D6E83">
                        <w:rPr>
                          <w:rFonts w:ascii="Rockwell" w:hAnsi="Rockwell" w:cs="Rockwell"/>
                          <w:b/>
                          <w:sz w:val="20"/>
                          <w:szCs w:val="20"/>
                        </w:rPr>
                        <w:t xml:space="preserve"> is</w:t>
                      </w:r>
                      <w:r w:rsidR="00D72E51">
                        <w:rPr>
                          <w:rFonts w:ascii="Rockwell" w:hAnsi="Rockwell" w:cs="Rockwell"/>
                          <w:b/>
                          <w:sz w:val="20"/>
                          <w:szCs w:val="20"/>
                        </w:rPr>
                        <w:t xml:space="preserve"> visible from the AONB, no specific measures are proposed to address visual effects from the designated area.</w:t>
                      </w:r>
                      <w:r>
                        <w:rPr>
                          <w:rFonts w:ascii="Rockwell" w:hAnsi="Rockwell" w:cs="Rockwell"/>
                          <w:b/>
                          <w:sz w:val="20"/>
                          <w:szCs w:val="20"/>
                        </w:rPr>
                        <w:t xml:space="preserve"> </w:t>
                      </w:r>
                      <w:r w:rsidR="00B01244">
                        <w:rPr>
                          <w:rFonts w:ascii="Rockwell" w:hAnsi="Rockwell" w:cs="Rockwell"/>
                          <w:b/>
                          <w:sz w:val="20"/>
                          <w:szCs w:val="20"/>
                        </w:rPr>
                        <w:t xml:space="preserve"> </w:t>
                      </w:r>
                    </w:p>
                    <w:p w:rsidR="001C12B9" w:rsidRPr="00B56FBD" w:rsidRDefault="00FB53A1"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p>
                    <w:p w:rsidR="005B2CE9" w:rsidRDefault="00054035"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By the applicant’s own admission ( Planning Statement ) “the proposal is contrary to UDP/LDP policies in respect of land outside settlement limits/employment areas and Green Barrier/Green Belt.” Other than treating this as an “exceptional case” the only policy justification put forward by the applicants supporting their proposal is LDP Policy EM4. However</w:t>
                      </w:r>
                      <w:r w:rsidR="0047199F">
                        <w:rPr>
                          <w:rFonts w:ascii="Rockwell" w:hAnsi="Rockwell" w:cs="Rockwell"/>
                          <w:b/>
                          <w:sz w:val="20"/>
                          <w:szCs w:val="20"/>
                        </w:rPr>
                        <w:t xml:space="preserve">, </w:t>
                      </w:r>
                      <w:r>
                        <w:rPr>
                          <w:rFonts w:ascii="Rockwell" w:hAnsi="Rockwell" w:cs="Rockwell"/>
                          <w:b/>
                          <w:sz w:val="20"/>
                          <w:szCs w:val="20"/>
                        </w:rPr>
                        <w:t>this policy requires it to be demonstrated that there are no alternatives and that the development forms a logical extension to the existing settlement limit. This application fails on both counts.</w:t>
                      </w:r>
                      <w:r w:rsidR="0047199F">
                        <w:rPr>
                          <w:rFonts w:ascii="Rockwell" w:hAnsi="Rockwell" w:cs="Rockwell"/>
                          <w:b/>
                          <w:sz w:val="20"/>
                          <w:szCs w:val="20"/>
                        </w:rPr>
                        <w:t xml:space="preserve"> </w:t>
                      </w:r>
                    </w:p>
                    <w:p w:rsidR="005B2CE9" w:rsidRDefault="005B2CE9" w:rsidP="00033C8E">
                      <w:pPr>
                        <w:pStyle w:val="BasicParagraph"/>
                        <w:tabs>
                          <w:tab w:val="left" w:pos="209"/>
                        </w:tabs>
                        <w:spacing w:line="240" w:lineRule="auto"/>
                        <w:rPr>
                          <w:rFonts w:ascii="Rockwell" w:hAnsi="Rockwell" w:cs="Rockwell"/>
                          <w:b/>
                          <w:sz w:val="20"/>
                          <w:szCs w:val="20"/>
                        </w:rPr>
                      </w:pPr>
                    </w:p>
                    <w:p w:rsidR="005B2CE9" w:rsidRDefault="0047199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First</w:t>
                      </w:r>
                      <w:r w:rsidR="001D6E83">
                        <w:rPr>
                          <w:rFonts w:ascii="Rockwell" w:hAnsi="Rockwell" w:cs="Rockwell"/>
                          <w:b/>
                          <w:sz w:val="20"/>
                          <w:szCs w:val="20"/>
                        </w:rPr>
                        <w:t xml:space="preserve"> of all</w:t>
                      </w:r>
                      <w:r>
                        <w:rPr>
                          <w:rFonts w:ascii="Rockwell" w:hAnsi="Rockwell" w:cs="Rockwell"/>
                          <w:b/>
                          <w:sz w:val="20"/>
                          <w:szCs w:val="20"/>
                        </w:rPr>
                        <w:t>,</w:t>
                      </w:r>
                      <w:r w:rsidR="001D6E83">
                        <w:rPr>
                          <w:rFonts w:ascii="Rockwell" w:hAnsi="Rockwell" w:cs="Rockwell"/>
                          <w:b/>
                          <w:sz w:val="20"/>
                          <w:szCs w:val="20"/>
                        </w:rPr>
                        <w:t xml:space="preserve"> by its very nature,</w:t>
                      </w:r>
                      <w:r>
                        <w:rPr>
                          <w:rFonts w:ascii="Rockwell" w:hAnsi="Rockwell" w:cs="Rockwell"/>
                          <w:b/>
                          <w:sz w:val="20"/>
                          <w:szCs w:val="20"/>
                        </w:rPr>
                        <w:t xml:space="preserve"> most of the land included within the application site is required for the parking of HGV’s ( 91 spaces ). The area is approximately 4 times greater in size than the existing lorry park. No explanation is provided as to why this increase i</w:t>
                      </w:r>
                      <w:r w:rsidR="001D6E83">
                        <w:rPr>
                          <w:rFonts w:ascii="Rockwell" w:hAnsi="Rockwell" w:cs="Rockwell"/>
                          <w:b/>
                          <w:sz w:val="20"/>
                          <w:szCs w:val="20"/>
                        </w:rPr>
                        <w:t>s</w:t>
                      </w:r>
                      <w:r>
                        <w:rPr>
                          <w:rFonts w:ascii="Rockwell" w:hAnsi="Rockwell" w:cs="Rockwell"/>
                          <w:b/>
                          <w:sz w:val="20"/>
                          <w:szCs w:val="20"/>
                        </w:rPr>
                        <w:t xml:space="preserve"> required, or why this number needs to be accommodated here at any one time. No evidence or consideration of other potential parking sites elsewhere have been provided. Similarly, insufficient information or justification has been provide</w:t>
                      </w:r>
                      <w:r w:rsidR="001664FF">
                        <w:rPr>
                          <w:rFonts w:ascii="Rockwell" w:hAnsi="Rockwell" w:cs="Rockwell"/>
                          <w:b/>
                          <w:sz w:val="20"/>
                          <w:szCs w:val="20"/>
                        </w:rPr>
                        <w:t>d</w:t>
                      </w:r>
                      <w:r>
                        <w:rPr>
                          <w:rFonts w:ascii="Rockwell" w:hAnsi="Rockwell" w:cs="Rockwell"/>
                          <w:b/>
                          <w:sz w:val="20"/>
                          <w:szCs w:val="20"/>
                        </w:rPr>
                        <w:t xml:space="preserve"> as to why other more sustainable transport options available e.g. rail, have not been pursued</w:t>
                      </w:r>
                      <w:r w:rsidR="001664FF">
                        <w:rPr>
                          <w:rFonts w:ascii="Rockwell" w:hAnsi="Rockwell" w:cs="Rockwell"/>
                          <w:b/>
                          <w:sz w:val="20"/>
                          <w:szCs w:val="20"/>
                        </w:rPr>
                        <w:t xml:space="preserve"> further. </w:t>
                      </w:r>
                    </w:p>
                    <w:p w:rsidR="005B2CE9" w:rsidRDefault="005B2CE9" w:rsidP="00033C8E">
                      <w:pPr>
                        <w:pStyle w:val="BasicParagraph"/>
                        <w:tabs>
                          <w:tab w:val="left" w:pos="209"/>
                        </w:tabs>
                        <w:spacing w:line="240" w:lineRule="auto"/>
                        <w:rPr>
                          <w:rFonts w:ascii="Rockwell" w:hAnsi="Rockwell" w:cs="Rockwell"/>
                          <w:b/>
                          <w:sz w:val="20"/>
                          <w:szCs w:val="20"/>
                        </w:rPr>
                      </w:pPr>
                    </w:p>
                    <w:p w:rsidR="001D6E83" w:rsidRDefault="001664FF"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Secondly, the extended area does not form</w:t>
                      </w:r>
                      <w:r w:rsidR="001D6E83">
                        <w:rPr>
                          <w:rFonts w:ascii="Rockwell" w:hAnsi="Rockwell" w:cs="Rockwell"/>
                          <w:b/>
                          <w:sz w:val="20"/>
                          <w:szCs w:val="20"/>
                        </w:rPr>
                        <w:t xml:space="preserve"> </w:t>
                      </w:r>
                      <w:r>
                        <w:rPr>
                          <w:rFonts w:ascii="Rockwell" w:hAnsi="Rockwell" w:cs="Rockwell"/>
                          <w:b/>
                          <w:sz w:val="20"/>
                          <w:szCs w:val="20"/>
                        </w:rPr>
                        <w:t>a logical extension to the existing settlement limit. It is not rounding off, neither does it follow a natural physical fo</w:t>
                      </w:r>
                      <w:r w:rsidR="001D6E83">
                        <w:rPr>
                          <w:rFonts w:ascii="Rockwell" w:hAnsi="Rockwell" w:cs="Rockwell"/>
                          <w:b/>
                          <w:sz w:val="20"/>
                          <w:szCs w:val="20"/>
                        </w:rPr>
                        <w:t>r</w:t>
                      </w:r>
                      <w:r>
                        <w:rPr>
                          <w:rFonts w:ascii="Rockwell" w:hAnsi="Rockwell" w:cs="Rockwell"/>
                          <w:b/>
                          <w:sz w:val="20"/>
                          <w:szCs w:val="20"/>
                        </w:rPr>
                        <w:t xml:space="preserve">m/feature/boundary and constitutes an unnatural spur of development into the open countryside. It would be seen as incongruous and would establish an undesirable precedent, increasing the vulnerability of land to the west of Afon Bradley ( closer to the AONB &amp; WHS ) to further industrial development in future. Whilst the existing Kronospan site is extremely large scale, it is nevertheless relatively well contained within the existing </w:t>
                      </w:r>
                      <w:r w:rsidR="001D6E83">
                        <w:rPr>
                          <w:rFonts w:ascii="Rockwell" w:hAnsi="Rockwell" w:cs="Rockwell"/>
                          <w:b/>
                          <w:sz w:val="20"/>
                          <w:szCs w:val="20"/>
                        </w:rPr>
                        <w:t xml:space="preserve">landscape </w:t>
                      </w:r>
                      <w:r>
                        <w:rPr>
                          <w:rFonts w:ascii="Rockwell" w:hAnsi="Rockwell" w:cs="Rockwell"/>
                          <w:b/>
                          <w:sz w:val="20"/>
                          <w:szCs w:val="20"/>
                        </w:rPr>
                        <w:t xml:space="preserve">setting. Approving this application would significantly compromise the existing relationship by adding an unnatural spur of development at the entrance to the village. </w:t>
                      </w:r>
                    </w:p>
                    <w:p w:rsidR="001D6E83" w:rsidRDefault="001D6E83" w:rsidP="00033C8E">
                      <w:pPr>
                        <w:pStyle w:val="BasicParagraph"/>
                        <w:tabs>
                          <w:tab w:val="left" w:pos="209"/>
                        </w:tabs>
                        <w:spacing w:line="240" w:lineRule="auto"/>
                        <w:rPr>
                          <w:rFonts w:ascii="Rockwell" w:hAnsi="Rockwell" w:cs="Rockwell"/>
                          <w:b/>
                          <w:sz w:val="20"/>
                          <w:szCs w:val="20"/>
                        </w:rPr>
                      </w:pPr>
                    </w:p>
                    <w:p w:rsidR="001C12B9" w:rsidRPr="00B56FBD" w:rsidRDefault="001D6E83" w:rsidP="00033C8E">
                      <w:pPr>
                        <w:pStyle w:val="BasicParagraph"/>
                        <w:tabs>
                          <w:tab w:val="left" w:pos="209"/>
                        </w:tabs>
                        <w:spacing w:line="240" w:lineRule="auto"/>
                        <w:rPr>
                          <w:rFonts w:ascii="Rockwell" w:hAnsi="Rockwell" w:cs="Rockwell"/>
                          <w:b/>
                          <w:sz w:val="20"/>
                          <w:szCs w:val="20"/>
                        </w:rPr>
                      </w:pPr>
                      <w:r>
                        <w:rPr>
                          <w:rFonts w:ascii="Rockwell" w:hAnsi="Rockwell" w:cs="Rockwell"/>
                          <w:b/>
                          <w:sz w:val="20"/>
                          <w:szCs w:val="20"/>
                        </w:rPr>
                        <w:t xml:space="preserve">The applicants state that the principle objective is to provide an alternative access road to the north which will provide environmental benefits to the village. The benefits of removing HGV movements along Holyhead Road through Chirk, in terms of reducing noise and disturbance, dust, vibration and improving air quality are acknowledged and indeed welcomed. </w:t>
                      </w:r>
                      <w:r w:rsidR="00783E4A">
                        <w:rPr>
                          <w:rFonts w:ascii="Rockwell" w:hAnsi="Rockwell" w:cs="Rockwell"/>
                          <w:b/>
                          <w:sz w:val="20"/>
                          <w:szCs w:val="20"/>
                        </w:rPr>
                        <w:t>However</w:t>
                      </w:r>
                      <w:r w:rsidR="006D2899">
                        <w:rPr>
                          <w:rFonts w:ascii="Rockwell" w:hAnsi="Rockwell" w:cs="Rockwell"/>
                          <w:b/>
                          <w:sz w:val="20"/>
                          <w:szCs w:val="20"/>
                        </w:rPr>
                        <w:t>,</w:t>
                      </w:r>
                      <w:r w:rsidR="00783E4A">
                        <w:rPr>
                          <w:rFonts w:ascii="Rockwell" w:hAnsi="Rockwell" w:cs="Rockwell"/>
                          <w:b/>
                          <w:sz w:val="20"/>
                          <w:szCs w:val="20"/>
                        </w:rPr>
                        <w:t xml:space="preserve"> the extent of the incursion into open countryside is disproportionate and involves a lot more than an alternative access road. Had a scheme with minimal intervention been submitted for a new access road with accompanying landscaping, the Joint Committee may well have supported it. Unfortunately, this is not the case and what we have is an extremely large extension to the industrial curtilage. Once this change of use has occurred it will be extremely difficult to resist </w:t>
                      </w:r>
                      <w:r w:rsidR="006D2899">
                        <w:rPr>
                          <w:rFonts w:ascii="Rockwell" w:hAnsi="Rockwell" w:cs="Rockwell"/>
                          <w:b/>
                          <w:sz w:val="20"/>
                          <w:szCs w:val="20"/>
                        </w:rPr>
                        <w:t xml:space="preserve">further built development and log storage in this area. </w:t>
                      </w:r>
                      <w:r w:rsidR="00783E4A">
                        <w:rPr>
                          <w:rFonts w:ascii="Rockwell" w:hAnsi="Rockwell" w:cs="Rockwell"/>
                          <w:b/>
                          <w:sz w:val="20"/>
                          <w:szCs w:val="20"/>
                        </w:rPr>
                        <w:t xml:space="preserve">   </w:t>
                      </w:r>
                      <w:r w:rsidR="001664FF">
                        <w:rPr>
                          <w:rFonts w:ascii="Rockwell" w:hAnsi="Rockwell" w:cs="Rockwell"/>
                          <w:b/>
                          <w:sz w:val="20"/>
                          <w:szCs w:val="20"/>
                        </w:rPr>
                        <w:t xml:space="preserve">  </w:t>
                      </w:r>
                      <w:r w:rsidR="0047199F">
                        <w:rPr>
                          <w:rFonts w:ascii="Rockwell" w:hAnsi="Rockwell" w:cs="Rockwell"/>
                          <w:b/>
                          <w:sz w:val="20"/>
                          <w:szCs w:val="20"/>
                        </w:rPr>
                        <w:t xml:space="preserve">     </w:t>
                      </w:r>
                      <w:r w:rsidR="00054035">
                        <w:rPr>
                          <w:rFonts w:ascii="Rockwell" w:hAnsi="Rockwell" w:cs="Rockwell"/>
                          <w:b/>
                          <w:sz w:val="20"/>
                          <w:szCs w:val="20"/>
                        </w:rPr>
                        <w:t xml:space="preserve">  </w:t>
                      </w:r>
                    </w:p>
                    <w:p w:rsidR="001C12B9" w:rsidRPr="00B56FBD" w:rsidRDefault="001C12B9" w:rsidP="00033C8E">
                      <w:pPr>
                        <w:pStyle w:val="BasicParagraph"/>
                        <w:tabs>
                          <w:tab w:val="left" w:pos="209"/>
                        </w:tabs>
                        <w:spacing w:line="240" w:lineRule="auto"/>
                        <w:rPr>
                          <w:rFonts w:ascii="Rockwell" w:hAnsi="Rockwell" w:cs="Rockwell"/>
                          <w:b/>
                          <w:sz w:val="20"/>
                          <w:szCs w:val="20"/>
                        </w:rPr>
                      </w:pPr>
                    </w:p>
                    <w:p w:rsidR="00CF31BB" w:rsidRPr="00B56FBD" w:rsidRDefault="00457063" w:rsidP="00033C8E">
                      <w:pPr>
                        <w:pStyle w:val="BasicParagraph"/>
                        <w:tabs>
                          <w:tab w:val="left" w:pos="209"/>
                        </w:tabs>
                        <w:spacing w:line="240" w:lineRule="auto"/>
                        <w:rPr>
                          <w:rFonts w:ascii="Rockwell" w:hAnsi="Rockwell" w:cs="Rockwell"/>
                          <w:b/>
                          <w:sz w:val="20"/>
                          <w:szCs w:val="20"/>
                        </w:rPr>
                      </w:pPr>
                      <w:r w:rsidRPr="00B56FBD">
                        <w:rPr>
                          <w:rFonts w:ascii="Rockwell" w:hAnsi="Rockwell" w:cs="Rockwell"/>
                          <w:b/>
                          <w:sz w:val="20"/>
                          <w:szCs w:val="20"/>
                        </w:rPr>
                        <w:t xml:space="preserve">   </w:t>
                      </w:r>
                      <w:r w:rsidR="00CF31BB" w:rsidRPr="00B56FBD">
                        <w:rPr>
                          <w:rFonts w:ascii="Rockwell" w:hAnsi="Rockwell" w:cs="Rockwell"/>
                          <w:b/>
                          <w:sz w:val="20"/>
                          <w:szCs w:val="20"/>
                        </w:rPr>
                        <w:t xml:space="preserve"> </w:t>
                      </w:r>
                    </w:p>
                    <w:p w:rsidR="00CF31BB" w:rsidRPr="00B56FBD" w:rsidRDefault="00CF31BB" w:rsidP="00033C8E">
                      <w:pPr>
                        <w:pStyle w:val="BasicParagraph"/>
                        <w:tabs>
                          <w:tab w:val="left" w:pos="209"/>
                        </w:tabs>
                        <w:spacing w:line="240" w:lineRule="auto"/>
                        <w:rPr>
                          <w:rFonts w:ascii="Rockwell" w:hAnsi="Rockwell" w:cs="Rockwell"/>
                          <w:b/>
                          <w:sz w:val="20"/>
                          <w:szCs w:val="20"/>
                        </w:rPr>
                      </w:pPr>
                    </w:p>
                    <w:p w:rsidR="001C12B9" w:rsidRDefault="00B9408D"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      </w:t>
                      </w:r>
                      <w:r w:rsidR="0066620E">
                        <w:rPr>
                          <w:rFonts w:ascii="Rockwell" w:hAnsi="Rockwell" w:cs="Rockwell"/>
                          <w:sz w:val="20"/>
                          <w:szCs w:val="20"/>
                        </w:rPr>
                        <w:t xml:space="preserve"> </w:t>
                      </w:r>
                      <w:r w:rsidR="007E2500">
                        <w:rPr>
                          <w:rFonts w:ascii="Rockwell" w:hAnsi="Rockwell" w:cs="Rockwell"/>
                          <w:sz w:val="20"/>
                          <w:szCs w:val="20"/>
                        </w:rPr>
                        <w:t xml:space="preserve">    </w:t>
                      </w:r>
                      <w:r w:rsidR="001C12B9">
                        <w:rPr>
                          <w:rFonts w:ascii="Rockwell" w:hAnsi="Rockwell" w:cs="Rockwell"/>
                          <w:sz w:val="20"/>
                          <w:szCs w:val="20"/>
                        </w:rPr>
                        <w:t xml:space="preserve">  </w:t>
                      </w:r>
                    </w:p>
                    <w:p w:rsidR="00E13989" w:rsidRPr="00033C8E" w:rsidRDefault="00E13989" w:rsidP="00033C8E">
                      <w:pPr>
                        <w:pStyle w:val="BasicParagraph"/>
                        <w:tabs>
                          <w:tab w:val="left" w:pos="209"/>
                        </w:tabs>
                        <w:spacing w:line="240" w:lineRule="auto"/>
                        <w:rPr>
                          <w:rFonts w:ascii="Rockwell" w:hAnsi="Rockwell" w:cs="Rockwell"/>
                          <w:sz w:val="20"/>
                          <w:szCs w:val="20"/>
                        </w:rPr>
                      </w:pPr>
                    </w:p>
                    <w:p w:rsid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I would be grateful if you could take account of the committee’s views </w:t>
                      </w:r>
                      <w:r w:rsidR="00306671">
                        <w:rPr>
                          <w:rFonts w:ascii="Rockwell" w:hAnsi="Rockwell" w:cs="Rockwell"/>
                          <w:sz w:val="20"/>
                          <w:szCs w:val="20"/>
                        </w:rPr>
                        <w:t xml:space="preserve">when deciding this </w:t>
                      </w:r>
                      <w:r w:rsidR="00AE056B">
                        <w:rPr>
                          <w:rFonts w:ascii="Rockwell" w:hAnsi="Rockwell" w:cs="Rockwell"/>
                          <w:sz w:val="20"/>
                          <w:szCs w:val="20"/>
                        </w:rPr>
                        <w:t>application</w:t>
                      </w:r>
                      <w:r w:rsidRPr="00033C8E">
                        <w:rPr>
                          <w:rFonts w:ascii="Rockwell" w:hAnsi="Rockwell" w:cs="Rockwell"/>
                          <w:sz w:val="20"/>
                          <w:szCs w:val="20"/>
                        </w:rPr>
                        <w:t>.</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Yours sincerely,</w:t>
                      </w:r>
                    </w:p>
                    <w:p w:rsidR="00033C8E" w:rsidRPr="00033C8E" w:rsidRDefault="00033C8E" w:rsidP="00033C8E">
                      <w:pPr>
                        <w:pStyle w:val="BasicParagraph"/>
                        <w:tabs>
                          <w:tab w:val="left" w:pos="209"/>
                        </w:tabs>
                        <w:spacing w:line="240" w:lineRule="auto"/>
                        <w:rPr>
                          <w:rFonts w:ascii="Rockwell" w:hAnsi="Rockwell" w:cs="Rockwell"/>
                          <w:sz w:val="20"/>
                          <w:szCs w:val="20"/>
                        </w:rPr>
                      </w:pPr>
                    </w:p>
                    <w:p w:rsidR="00033C8E"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 xml:space="preserve">Dave Williams </w:t>
                      </w:r>
                    </w:p>
                    <w:p w:rsidR="00033C8E" w:rsidRDefault="00033C8E" w:rsidP="00033C8E">
                      <w:pPr>
                        <w:pStyle w:val="BasicParagraph"/>
                        <w:tabs>
                          <w:tab w:val="left" w:pos="209"/>
                        </w:tabs>
                        <w:spacing w:line="240" w:lineRule="auto"/>
                        <w:rPr>
                          <w:rFonts w:ascii="Rockwell" w:hAnsi="Rockwell" w:cs="Rockwell"/>
                          <w:sz w:val="20"/>
                          <w:szCs w:val="20"/>
                        </w:rPr>
                      </w:pPr>
                      <w:r>
                        <w:rPr>
                          <w:rFonts w:ascii="Rockwell" w:hAnsi="Rockwell" w:cs="Rockwell"/>
                          <w:sz w:val="20"/>
                          <w:szCs w:val="20"/>
                        </w:rPr>
                        <w:t xml:space="preserve">AONB Planning </w:t>
                      </w:r>
                      <w:r w:rsidR="005B2CE9">
                        <w:rPr>
                          <w:rFonts w:ascii="Rockwell" w:hAnsi="Rockwell" w:cs="Rockwell"/>
                          <w:sz w:val="20"/>
                          <w:szCs w:val="20"/>
                        </w:rPr>
                        <w:t>Advisor</w:t>
                      </w:r>
                    </w:p>
                    <w:p w:rsidR="00176775" w:rsidRPr="00033C8E" w:rsidRDefault="00033C8E" w:rsidP="00033C8E">
                      <w:pPr>
                        <w:pStyle w:val="BasicParagraph"/>
                        <w:tabs>
                          <w:tab w:val="left" w:pos="209"/>
                        </w:tabs>
                        <w:spacing w:line="240" w:lineRule="auto"/>
                        <w:rPr>
                          <w:rFonts w:ascii="Rockwell" w:hAnsi="Rockwell" w:cs="Rockwell"/>
                          <w:sz w:val="20"/>
                          <w:szCs w:val="20"/>
                        </w:rPr>
                      </w:pPr>
                      <w:r w:rsidRPr="00033C8E">
                        <w:rPr>
                          <w:rFonts w:ascii="Rockwell" w:hAnsi="Rockwell" w:cs="Rockwell"/>
                          <w:sz w:val="20"/>
                          <w:szCs w:val="20"/>
                        </w:rPr>
                        <w:t>For the Clwydian Range and Dee Valley AONB Joint Committee</w:t>
                      </w:r>
                    </w:p>
                  </w:txbxContent>
                </v:textbox>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Default="00176775" w:rsidP="00CF3A1C">
      <w:pPr>
        <w:rPr>
          <w:sz w:val="2"/>
          <w:szCs w:val="2"/>
        </w:rPr>
      </w:pPr>
    </w:p>
    <w:p w:rsidR="00176775" w:rsidRPr="00CF3A1C" w:rsidRDefault="00176775" w:rsidP="00CF3A1C">
      <w:pPr>
        <w:rPr>
          <w:sz w:val="2"/>
          <w:szCs w:val="2"/>
        </w:rPr>
      </w:pPr>
    </w:p>
    <w:p w:rsidR="00176775" w:rsidRPr="00CF3A1C" w:rsidRDefault="00176775" w:rsidP="00CF3A1C">
      <w:pPr>
        <w:rPr>
          <w:sz w:val="16"/>
          <w:szCs w:val="16"/>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Pr>
        <w:rPr>
          <w:noProof/>
          <w:lang w:val="en-GB" w:eastAsia="en-GB"/>
        </w:rPr>
      </w:pPr>
    </w:p>
    <w:p w:rsidR="00176775" w:rsidRDefault="00176775" w:rsidP="00CF3A1C">
      <w:pPr>
        <w:rPr>
          <w:noProof/>
          <w:lang w:val="en-GB" w:eastAsia="en-GB"/>
        </w:rPr>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762000</wp:posOffset>
                </wp:positionH>
                <wp:positionV relativeFrom="paragraph">
                  <wp:posOffset>71120</wp:posOffset>
                </wp:positionV>
                <wp:extent cx="6096000" cy="8343900"/>
                <wp:effectExtent l="0" t="0" r="0" b="0"/>
                <wp:wrapTight wrapText="bothSides">
                  <wp:wrapPolygon edited="0">
                    <wp:start x="135" y="148"/>
                    <wp:lineTo x="135" y="21452"/>
                    <wp:lineTo x="21398" y="21452"/>
                    <wp:lineTo x="21398" y="148"/>
                    <wp:lineTo x="135" y="148"/>
                  </wp:wrapPolygon>
                </wp:wrapTight>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439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type="none" w="med" len="med"/>
                              <a:tailEnd type="none" w="med" len="me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margin-left:60pt;margin-top:5.6pt;width:480pt;height:6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ocTAIAAFsEAAAOAAAAZHJzL2Uyb0RvYy54bWysVNtu2zAMfR+wfxD07tpO3DQ24hS5DgO6&#10;C9DsAxRZjo3aoioptbth/z5KTtJsexv2Yoi3Q/KQ9Oy+bxvyIrSpQeY0vokoEZJDUctDTr/ttsGU&#10;EmOZLFgDUuT0VRh6P3//btapTIyggqYQmiCINFmnclpZq7IwNLwSLTM3oIREYwm6ZRZFfQgLzTpE&#10;b5twFEWTsANdKA1cGIPa9WCkc49floLbL2VphCVNTrE267/af/fuG85nLDtopqqan8pg/1BFy2qJ&#10;SS9Qa2YZOer6L6i25hoMlPaGQxtCWdZc+B6wmzj6o5vHiinhe0FyjLrQZP4fLP/88lWTusjpiBLJ&#10;WhzRTvSWLKEnqWOnUyZDp0eFbrZHNU7Zd2rUA/AnQySsKiYPYqE1dJVgBVYXu8jwKnTAMQ5k332C&#10;AtOwowUP1Je6ddQhGQTRcUqvl8m4UjgqJ1E6iSI0cbRNx8k4RcHlYNk5XGljPwhoiXvkVOPoPTx7&#10;eTB2cD27uGwStnXToJ5ljfxNgZiDBpNjqLO5Mvw0f6RRuplupkmQjCabIImKIlhsV0kw2cZ3t+vx&#10;erVaxz+HrboKikdJtBylwXYyvQuSMrkN0rtoGkRxusS+kjRZb30Qpj4n9ew5wgbqmlo+iWLX73s/&#10;rBivSjyfiHY876F4RXI1DBuOF4mPCvR3Sjrc7pya5yPTgpLmo8QBpXGSuHO4FvS1sL8WmOQIlVNL&#10;yfBc2eGEjkrXhwozDSshYYFDLWtP91tVp1XADfYDO12bO5Fr2Xu9/RPmvwAAAP//AwBQSwMEFAAG&#10;AAgAAAAhAFxVx2/cAAAADAEAAA8AAABkcnMvZG93bnJldi54bWxMj81OwzAQhO9IvIO1lbhRp0Gl&#10;UYhToSIegILE1Ym3SVR7HcXOD316Nie4zeyOZr8tjouzYsIhdJ4U7LYJCKTam44aBV+f748ZiBA1&#10;GW09oYIfDHAs7+8KnRs/0wdO59gILqGQawVtjH0uZahbdDpsfY/Eu4sfnI5sh0aaQc9c7qxMk+RZ&#10;Ot0RX2h1j6cW6+t5dArq2/iWnbpqmm+H70O1tHZ/IavUw2Z5fQERcYl/YVjxGR1KZqr8SCYIy57r&#10;Ocpil4JYA0m2TipWT+k+BVkW8v8T5S8AAAD//wMAUEsBAi0AFAAGAAgAAAAhALaDOJL+AAAA4QEA&#10;ABMAAAAAAAAAAAAAAAAAAAAAAFtDb250ZW50X1R5cGVzXS54bWxQSwECLQAUAAYACAAAACEAOP0h&#10;/9YAAACUAQAACwAAAAAAAAAAAAAAAAAvAQAAX3JlbHMvLnJlbHNQSwECLQAUAAYACAAAACEATC8a&#10;HEwCAABbBAAADgAAAAAAAAAAAAAAAAAuAgAAZHJzL2Uyb0RvYy54bWxQSwECLQAUAAYACAAAACEA&#10;XFXHb9wAAAAMAQAADwAAAAAAAAAAAAAAAACmBAAAZHJzL2Rvd25yZXYueG1sUEsFBgAAAAAEAAQA&#10;8wAAAK8FAAAAAA==&#10;" filled="f" stroked="f">
                <v:textbox style="mso-next-textbox:#Text Box 13" inset=",7.2pt,,7.2pt">
                  <w:txbxContent/>
                </v:textbox>
                <w10:wrap type="tight"/>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ind w:left="1134" w:hanging="1134"/>
      </w:pP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1739BD">
      <w:pPr>
        <w:tabs>
          <w:tab w:val="left" w:pos="7867"/>
        </w:tabs>
      </w:pPr>
      <w:r>
        <w:lastRenderedPageBreak/>
        <w:tab/>
      </w:r>
    </w:p>
    <w:p w:rsidR="00176775" w:rsidRDefault="00176775" w:rsidP="00CF3A1C"/>
    <w:p w:rsidR="00176775" w:rsidRDefault="00033C8E" w:rsidP="00CF3A1C">
      <w:r>
        <w:rPr>
          <w:noProof/>
          <w:lang w:val="en-GB" w:eastAsia="en-GB"/>
        </w:rPr>
        <mc:AlternateContent>
          <mc:Choice Requires="wps">
            <w:drawing>
              <wp:anchor distT="0" distB="0" distL="114300" distR="114300" simplePos="0" relativeHeight="251659776" behindDoc="0" locked="0" layoutInCell="1" allowOverlap="1">
                <wp:simplePos x="0" y="0"/>
                <wp:positionH relativeFrom="column">
                  <wp:posOffset>838200</wp:posOffset>
                </wp:positionH>
                <wp:positionV relativeFrom="paragraph">
                  <wp:posOffset>71120</wp:posOffset>
                </wp:positionV>
                <wp:extent cx="5943600" cy="845820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84582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linkedTxbx id="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66pt;margin-top:5.6pt;width:468pt;height:6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RwwIAANQFAAAOAAAAZHJzL2Uyb0RvYy54bWysVFtv2jAUfp+0/2D5nSbQ0EHUUKVUTJNQ&#10;W61MfTaOXaI6tmsbCJv233dsJ5R1e+m0l+T4nO/cL5dXbSPQjhlbK1ng4VmKEZNUVbV8KvC31WIw&#10;wcg6IisilGQFPjCLr2YfP1zudc5GaqNExQwCI9Lme13gjXM6TxJLN6wh9kxpJkHIlWmIg6d5SipD&#10;9mC9EckoTS+SvTKVNooya4F7E4V4Fuxzzqi749wyh0SBITYXviZ81/6bzC5J/mSI3tS0C4P8QxQN&#10;qSU4PZq6IY6gran/MNXU1CiruDujqkkU5zVlIQfIZpi+yeZhQzQLuUBxrD6Wyf4/s/R2d29QXUHv&#10;zjGSpIEerVjr0LVqEbCgPnttc4A9aAC6FviADblavVT02QIkOcFEBQtoX4+Wm8b/IVMEitCCw7Hs&#10;3g0F5nianV+kIKIgm2TjCTTWO05e1bWx7jNTDfJEgQ30NYRAdkvrIrSHeG9SLWohgE9yIX9jgM3I&#10;YWE4ojbJIRQgPdIHFRr3Yz7+NCo/jaeDi3I8HGTDdDIoy3Q0uFmUaZlmi/k0u/7Zxdnrh0LE3H1J&#10;rDsIFqP4yjiUOZTAM8KAs7kwaEdgNAmlTLphZ01IQHsUhyzeo9jhQx4hv/cox4r0npV0R+WmlsrE&#10;lvu9fA27eu5D5hHfjUKXty+BqOUzq1btuo1TBueAvRR41E/WWlUHGCyj4mpaTRc19HhJrLsnBnYR&#10;5gLui7uDDxdqX2DVURhtlPn+N77Hw4qAFKM97HaB7cuWGIaR+CJheabDLPPHIDwyaDM8zKlkfSqR&#10;22auoEdDCF3TQHq8Ez3JjWoe4QyV3iuIiKTgu8CuJ+cuXhw4Y5SVZQDB+mvilvJB036f/ASv2kdi&#10;dDfmDsbqVvVXgORvpj1ifbOlKrdO8Tqsgq96rGrXDTgdYZm6M+dv0+k7oF6P8ewXAAAA//8DAFBL&#10;AwQUAAYACAAAACEAkG8aV90AAAAMAQAADwAAAGRycy9kb3ducmV2LnhtbExPy07DMBC8I/EP1iJx&#10;o05TVFUhToWQKhDiQtoPcGMTR4nXVmwnga9nc4Lbzs5oHuVxsQOb9Bg6hwK2mwyYxsapDlsBl/Pp&#10;4QAsRIlKDg61gG8d4Fjd3pSyUG7GTz3VsWVkgqGQAkyMvuA8NEZbGTbOayTuy41WRoJjy9UoZzK3&#10;A8+zbM+t7JASjPT6xeimr5MVcEqvb3b64cm/182Mxvfp8tELcX+3PD8Bi3qJf2JY61N1qKjT1SVU&#10;gQ2EdzltiXRsc2CrINsf6HNdqcddDrwq+f8R1S8AAAD//wMAUEsBAi0AFAAGAAgAAAAhALaDOJL+&#10;AAAA4QEAABMAAAAAAAAAAAAAAAAAAAAAAFtDb250ZW50X1R5cGVzXS54bWxQSwECLQAUAAYACAAA&#10;ACEAOP0h/9YAAACUAQAACwAAAAAAAAAAAAAAAAAvAQAAX3JlbHMvLnJlbHNQSwECLQAUAAYACAAA&#10;ACEA//YLkcMCAADUBQAADgAAAAAAAAAAAAAAAAAuAgAAZHJzL2Uyb0RvYy54bWxQSwECLQAUAAYA&#10;CAAAACEAkG8aV90AAAAMAQAADwAAAAAAAAAAAAAAAAAdBQAAZHJzL2Rvd25yZXYueG1sUEsFBgAA&#10;AAAEAAQA8wAAACcGAAAAAA==&#10;" filled="f" stroked="f">
                <v:path arrowok="t"/>
                <v:textbox>
                  <w:txbxContent/>
                </v:textbox>
                <w10:wrap type="square"/>
              </v:shape>
            </w:pict>
          </mc:Fallback>
        </mc:AlternateContent>
      </w:r>
    </w:p>
    <w:p w:rsidR="00176775" w:rsidRDefault="00033C8E" w:rsidP="00CF3A1C">
      <w:r>
        <w:rPr>
          <w:noProof/>
          <w:lang w:val="en-GB" w:eastAsia="en-GB"/>
        </w:rPr>
        <mc:AlternateContent>
          <mc:Choice Requires="wps">
            <w:drawing>
              <wp:anchor distT="0" distB="0" distL="114300" distR="114300" simplePos="0" relativeHeight="251658752" behindDoc="0" locked="0" layoutInCell="1" allowOverlap="1">
                <wp:simplePos x="0" y="0"/>
                <wp:positionH relativeFrom="column">
                  <wp:posOffset>838200</wp:posOffset>
                </wp:positionH>
                <wp:positionV relativeFrom="paragraph">
                  <wp:posOffset>120650</wp:posOffset>
                </wp:positionV>
                <wp:extent cx="5791200" cy="80010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1200" cy="80010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E4824E" id="Text Box 11" o:spid="_x0000_s1026" type="#_x0000_t202" style="position:absolute;margin-left:66pt;margin-top:9.5pt;width:456pt;height:63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zpArQIAALQFAAAOAAAAZHJzL2Uyb0RvYy54bWysVF1P2zAUfZ+0/2D5vSStWqARKQpFnSZV&#10;gAYTz8axaURie7b7wab99x07SduxvTDtJbHvPff63nM/Li53TU02wrpKq5wOT1JKhOK6rNRzTr8+&#10;LAbnlDjPVMlqrUROX4Wjl7OPHy62JhMjvdJ1KSyBE+WyrcnpynuTJYnjK9Ewd6KNUFBKbRvmcbXP&#10;SWnZFt6bOhml6Wmy1bY0VnPhHKTXrZLOon8pBfe3UjrhSZ1TxObj18bvU/gmswuWPVtmVhXvwmD/&#10;EEXDKoVH966umWdkbas/XDUVt9pp6U+4bhItZcVFzAHZDNM32dyvmBExF5DjzJ4m9//c8pvNnSVV&#10;idoNKVGsQY0exM6TK70jEIGfrXEZYPcGQL+DHNiYqzNLzV8cIMkRpjVwQAc+dtI24Y9MCQxRgtc9&#10;7eEZDuHkbDpELSnh0J2n4AGX4PVgbqzzn4RuSDjk1KKuMQS2WTrfQntIeE3pRVXXkLOsVr8J4LOV&#10;iNgcrTXLEAqOARmCioX7MZ+cjYqzyXRwWkyGg/EwPR8URToaXC+KtEjHi/l0fPWzi7O3j0S0uQdK&#10;nH+tRRvFFyFBc6QgCGKDi3ltyYahNRnnQvlId4wQ6ICSyOI9hh0+5hHze49xy0j/slZ+b9xUStu2&#10;5GEuD2GXL33IssV3rdDlHSh40uUrGsfqdvSc4YsKNVwy5++Yxayh7tgf/hYfWettTnV3omSl7fe/&#10;yQMeIwAtJVvMbk7dtzWzgpL6s8JwTIfjcRj2eBmjjLjYY83TsUatm7lGDdD/iC4eA97X/VFa3Txi&#10;zRThVaiY4ng7p74/zn27UbCmuCiKCMJ4G+aX6t7wfl5Chz7sHpk1XRt7tM2N7qecZW+6ucWGYipd&#10;rL2WVWz1A6sd21gNcVi6NRZ2z/E9og7LdvYLAAD//wMAUEsDBBQABgAIAAAAIQBS+tYr3AAAAAwB&#10;AAAPAAAAZHJzL2Rvd25yZXYueG1sTE/LTsQwDLwj8Q+RkbixKWXFozRdIaQVCHGh7AdkG9NUbZyq&#10;SdrC1+M9wckz9mg8U+5WN4gZp9B5UnC9yUAgNd501Co4fO6v7kGEqMnowRMq+MYAu+r8rNSF8Qt9&#10;4FzHVrAJhUIrsDGOhZShseh02PgRiW9ffnI6Mp1aaSa9sLkbZJ5lt9LpjviD1SM+W2z6OjkF+/Ty&#10;6uYfmca3ulnIjn06vPdKXV6sT48gIq7xTwyn+BwdKs509IlMEAPzm5y7RAYPPE+CbLtldGSU3/FO&#10;VqX8X6L6BQAA//8DAFBLAQItABQABgAIAAAAIQC2gziS/gAAAOEBAAATAAAAAAAAAAAAAAAAAAAA&#10;AABbQ29udGVudF9UeXBlc10ueG1sUEsBAi0AFAAGAAgAAAAhADj9If/WAAAAlAEAAAsAAAAAAAAA&#10;AAAAAAAALwEAAF9yZWxzLy5yZWxzUEsBAi0AFAAGAAgAAAAhALgPOkCtAgAAtAUAAA4AAAAAAAAA&#10;AAAAAAAALgIAAGRycy9lMm9Eb2MueG1sUEsBAi0AFAAGAAgAAAAhAFL61ivcAAAADAEAAA8AAAAA&#10;AAAAAAAAAAAABwUAAGRycy9kb3ducmV2LnhtbFBLBQYAAAAABAAEAPMAAAAQBgAAAAA=&#10;" filled="f" stroked="f">
                <v:path arrowok="t"/>
                <w10:wrap type="square"/>
              </v:shape>
            </w:pict>
          </mc:Fallback>
        </mc:AlternateContent>
      </w:r>
    </w:p>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176775" w:rsidP="00CF3A1C"/>
    <w:p w:rsidR="00176775" w:rsidRDefault="00033C8E" w:rsidP="00CF3A1C">
      <w:r>
        <w:rPr>
          <w:noProof/>
          <w:lang w:val="en-GB" w:eastAsia="en-GB"/>
        </w:rPr>
        <w:drawing>
          <wp:inline distT="0" distB="0" distL="0" distR="0">
            <wp:extent cx="7359650" cy="304800"/>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59650" cy="304800"/>
                    </a:xfrm>
                    <a:prstGeom prst="rect">
                      <a:avLst/>
                    </a:prstGeom>
                    <a:noFill/>
                    <a:ln>
                      <a:noFill/>
                    </a:ln>
                  </pic:spPr>
                </pic:pic>
              </a:graphicData>
            </a:graphic>
          </wp:inline>
        </w:drawing>
      </w:r>
    </w:p>
    <w:p w:rsidR="00176775" w:rsidRDefault="00176775" w:rsidP="00CF3A1C"/>
    <w:sectPr w:rsidR="00176775" w:rsidSect="001D7D92">
      <w:pgSz w:w="11900" w:h="16840" w:code="9"/>
      <w:pgMar w:top="0" w:right="0" w:bottom="0"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75E" w:rsidRDefault="0015375E" w:rsidP="001739BD">
      <w:r>
        <w:separator/>
      </w:r>
    </w:p>
  </w:endnote>
  <w:endnote w:type="continuationSeparator" w:id="0">
    <w:p w:rsidR="0015375E" w:rsidRDefault="0015375E" w:rsidP="00173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Times-Roman">
    <w:altName w:val="Times New Roman"/>
    <w:panose1 w:val="00000000000000000000"/>
    <w:charset w:val="CD"/>
    <w:family w:val="auto"/>
    <w:notTrueType/>
    <w:pitch w:val="default"/>
    <w:sig w:usb0="00000001" w:usb1="00000000" w:usb2="00000000" w:usb3="00000000" w:csb0="00000000" w:csb1="00000000"/>
  </w:font>
  <w:font w:name="Rockwell-Bold">
    <w:altName w:val="Rockwell"/>
    <w:panose1 w:val="00000000000000000000"/>
    <w:charset w:val="4D"/>
    <w:family w:val="auto"/>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75E" w:rsidRDefault="0015375E" w:rsidP="001739BD">
      <w:r>
        <w:separator/>
      </w:r>
    </w:p>
  </w:footnote>
  <w:footnote w:type="continuationSeparator" w:id="0">
    <w:p w:rsidR="0015375E" w:rsidRDefault="0015375E" w:rsidP="001739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1C"/>
    <w:rsid w:val="0000142D"/>
    <w:rsid w:val="00033C8E"/>
    <w:rsid w:val="00054035"/>
    <w:rsid w:val="000B70D3"/>
    <w:rsid w:val="0015375E"/>
    <w:rsid w:val="001626FC"/>
    <w:rsid w:val="001664FF"/>
    <w:rsid w:val="001739BD"/>
    <w:rsid w:val="00176775"/>
    <w:rsid w:val="001A79DF"/>
    <w:rsid w:val="001C12B9"/>
    <w:rsid w:val="001D5B6C"/>
    <w:rsid w:val="001D6E83"/>
    <w:rsid w:val="001D7D92"/>
    <w:rsid w:val="001F025B"/>
    <w:rsid w:val="002566E1"/>
    <w:rsid w:val="00296B22"/>
    <w:rsid w:val="002A24CC"/>
    <w:rsid w:val="002A588B"/>
    <w:rsid w:val="00306671"/>
    <w:rsid w:val="00455720"/>
    <w:rsid w:val="00457063"/>
    <w:rsid w:val="0047199F"/>
    <w:rsid w:val="00570B06"/>
    <w:rsid w:val="005864E8"/>
    <w:rsid w:val="005B2CE9"/>
    <w:rsid w:val="005D3A31"/>
    <w:rsid w:val="0066620E"/>
    <w:rsid w:val="006A30BF"/>
    <w:rsid w:val="006A50E1"/>
    <w:rsid w:val="006D2899"/>
    <w:rsid w:val="007310E4"/>
    <w:rsid w:val="00736EB3"/>
    <w:rsid w:val="00776831"/>
    <w:rsid w:val="00783E4A"/>
    <w:rsid w:val="007A1059"/>
    <w:rsid w:val="007E2500"/>
    <w:rsid w:val="008009E8"/>
    <w:rsid w:val="00890454"/>
    <w:rsid w:val="009303AB"/>
    <w:rsid w:val="009B4A2C"/>
    <w:rsid w:val="00A370AC"/>
    <w:rsid w:val="00A96F03"/>
    <w:rsid w:val="00AE056B"/>
    <w:rsid w:val="00B01244"/>
    <w:rsid w:val="00B56FBD"/>
    <w:rsid w:val="00B82C4E"/>
    <w:rsid w:val="00B9408D"/>
    <w:rsid w:val="00C920AE"/>
    <w:rsid w:val="00CF31BB"/>
    <w:rsid w:val="00CF3A1C"/>
    <w:rsid w:val="00D136B9"/>
    <w:rsid w:val="00D22CCD"/>
    <w:rsid w:val="00D56C27"/>
    <w:rsid w:val="00D725A3"/>
    <w:rsid w:val="00D72E51"/>
    <w:rsid w:val="00E13989"/>
    <w:rsid w:val="00EA69FE"/>
    <w:rsid w:val="00F2617D"/>
    <w:rsid w:val="00FB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CA068C6-31D0-4F56-B732-8A174F78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5A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3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F3A1C"/>
    <w:rPr>
      <w:rFonts w:ascii="Lucida Grande" w:hAnsi="Lucida Grande" w:cs="Lucida Grande"/>
      <w:sz w:val="18"/>
      <w:szCs w:val="18"/>
    </w:rPr>
  </w:style>
  <w:style w:type="paragraph" w:customStyle="1" w:styleId="BasicParagraph">
    <w:name w:val="[Basic Paragraph]"/>
    <w:basedOn w:val="Normal"/>
    <w:uiPriority w:val="99"/>
    <w:rsid w:val="00CF3A1C"/>
    <w:pPr>
      <w:widowControl w:val="0"/>
      <w:autoSpaceDE w:val="0"/>
      <w:autoSpaceDN w:val="0"/>
      <w:adjustRightInd w:val="0"/>
      <w:spacing w:line="288" w:lineRule="auto"/>
      <w:textAlignment w:val="center"/>
    </w:pPr>
    <w:rPr>
      <w:rFonts w:ascii="Times-Roman" w:hAnsi="Times-Roman" w:cs="Times-Roman"/>
      <w:color w:val="000000"/>
      <w:lang w:val="en-GB"/>
    </w:rPr>
  </w:style>
  <w:style w:type="paragraph" w:styleId="Header">
    <w:name w:val="header"/>
    <w:basedOn w:val="Normal"/>
    <w:link w:val="HeaderChar"/>
    <w:uiPriority w:val="99"/>
    <w:rsid w:val="001739BD"/>
    <w:pPr>
      <w:tabs>
        <w:tab w:val="center" w:pos="4320"/>
        <w:tab w:val="right" w:pos="8640"/>
      </w:tabs>
    </w:pPr>
  </w:style>
  <w:style w:type="character" w:customStyle="1" w:styleId="HeaderChar">
    <w:name w:val="Header Char"/>
    <w:basedOn w:val="DefaultParagraphFont"/>
    <w:link w:val="Header"/>
    <w:uiPriority w:val="99"/>
    <w:locked/>
    <w:rsid w:val="001739BD"/>
    <w:rPr>
      <w:rFonts w:cs="Times New Roman"/>
      <w:sz w:val="24"/>
      <w:szCs w:val="24"/>
      <w:lang w:val="en-US" w:eastAsia="en-US"/>
    </w:rPr>
  </w:style>
  <w:style w:type="paragraph" w:styleId="Footer">
    <w:name w:val="footer"/>
    <w:basedOn w:val="Normal"/>
    <w:link w:val="FooterChar"/>
    <w:uiPriority w:val="99"/>
    <w:rsid w:val="001739BD"/>
    <w:pPr>
      <w:tabs>
        <w:tab w:val="center" w:pos="4320"/>
        <w:tab w:val="right" w:pos="8640"/>
      </w:tabs>
    </w:pPr>
  </w:style>
  <w:style w:type="character" w:customStyle="1" w:styleId="FooterChar">
    <w:name w:val="Footer Char"/>
    <w:basedOn w:val="DefaultParagraphFont"/>
    <w:link w:val="Footer"/>
    <w:uiPriority w:val="99"/>
    <w:locked/>
    <w:rsid w:val="001739BD"/>
    <w:rPr>
      <w:rFonts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Words>
  <Characters>159</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bevridgebeer</Company>
  <LinksUpToDate>false</LinksUpToDate>
  <CharactersWithSpaces>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Beer</dc:creator>
  <cp:keywords/>
  <dc:description/>
  <cp:lastModifiedBy>Bethan Jones</cp:lastModifiedBy>
  <cp:revision>2</cp:revision>
  <cp:lastPrinted>2013-08-02T13:15:00Z</cp:lastPrinted>
  <dcterms:created xsi:type="dcterms:W3CDTF">2023-08-08T14:21:00Z</dcterms:created>
  <dcterms:modified xsi:type="dcterms:W3CDTF">2023-08-08T14:21:00Z</dcterms:modified>
</cp:coreProperties>
</file>