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6565" w:rsidRPr="00736565" w:rsidRDefault="00736565" w:rsidP="00736565">
      <w:pPr>
        <w:jc w:val="center"/>
        <w:rPr>
          <w:b/>
          <w:sz w:val="40"/>
          <w:u w:val="single"/>
        </w:rPr>
      </w:pPr>
      <w:bookmarkStart w:id="0" w:name="_GoBack"/>
      <w:bookmarkEnd w:id="0"/>
      <w:r w:rsidRPr="00736565">
        <w:rPr>
          <w:b/>
          <w:sz w:val="40"/>
          <w:u w:val="single"/>
        </w:rPr>
        <w:t>HERITAGE IMPACT STATEMENT</w:t>
      </w:r>
    </w:p>
    <w:p w:rsidR="00736565" w:rsidRPr="00736565" w:rsidRDefault="00736565" w:rsidP="00736565">
      <w:pPr>
        <w:jc w:val="center"/>
        <w:rPr>
          <w:b/>
          <w:sz w:val="40"/>
          <w:u w:val="single"/>
        </w:rPr>
      </w:pPr>
      <w:r w:rsidRPr="00736565">
        <w:rPr>
          <w:b/>
          <w:sz w:val="40"/>
          <w:u w:val="single"/>
        </w:rPr>
        <w:t>FOR PROPOSED WORKS AT:</w:t>
      </w:r>
    </w:p>
    <w:p w:rsidR="007B2E6E" w:rsidRPr="00736565" w:rsidRDefault="00736565" w:rsidP="00736565">
      <w:pPr>
        <w:jc w:val="center"/>
        <w:rPr>
          <w:b/>
          <w:sz w:val="40"/>
          <w:u w:val="single"/>
        </w:rPr>
      </w:pPr>
      <w:r w:rsidRPr="00736565">
        <w:rPr>
          <w:b/>
          <w:sz w:val="40"/>
          <w:u w:val="single"/>
        </w:rPr>
        <w:t>67 Acton Gate, Wrexham</w:t>
      </w:r>
    </w:p>
    <w:p w:rsidR="00736565" w:rsidRDefault="00736565"/>
    <w:p w:rsidR="00736565" w:rsidRDefault="00736565">
      <w:r>
        <w:rPr>
          <w:noProof/>
          <w:lang w:eastAsia="en-GB"/>
        </w:rPr>
        <w:drawing>
          <wp:inline distT="0" distB="0" distL="0" distR="0" wp14:anchorId="791A0380" wp14:editId="738D2DCA">
            <wp:extent cx="5731510" cy="4849495"/>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4849495"/>
                    </a:xfrm>
                    <a:prstGeom prst="rect">
                      <a:avLst/>
                    </a:prstGeom>
                  </pic:spPr>
                </pic:pic>
              </a:graphicData>
            </a:graphic>
          </wp:inline>
        </w:drawing>
      </w:r>
    </w:p>
    <w:p w:rsidR="009B6E29" w:rsidRDefault="009B6E29"/>
    <w:p w:rsidR="009B6E29" w:rsidRDefault="009B6E29"/>
    <w:p w:rsidR="009B6E29" w:rsidRDefault="009B6E29"/>
    <w:p w:rsidR="009B6E29" w:rsidRDefault="009B6E29"/>
    <w:p w:rsidR="009B6E29" w:rsidRDefault="009B6E29"/>
    <w:p w:rsidR="009B6E29" w:rsidRDefault="009B6E29"/>
    <w:p w:rsidR="009B6E29" w:rsidRDefault="009B6E29"/>
    <w:p w:rsidR="009B6E29" w:rsidRDefault="009B6E29"/>
    <w:p w:rsidR="009B6E29" w:rsidRDefault="009B6E29"/>
    <w:p w:rsidR="009B6E29" w:rsidRDefault="009B6E29"/>
    <w:p w:rsidR="009B6E29" w:rsidRPr="009B6E29" w:rsidRDefault="009B6E29" w:rsidP="009B6E29">
      <w:pPr>
        <w:pStyle w:val="Heading2"/>
        <w:shd w:val="clear" w:color="auto" w:fill="9CC2E5" w:themeFill="accent1" w:themeFillTint="99"/>
        <w:rPr>
          <w:sz w:val="28"/>
        </w:rPr>
      </w:pPr>
      <w:r w:rsidRPr="009B6E29">
        <w:rPr>
          <w:sz w:val="28"/>
        </w:rPr>
        <w:t>Contents</w:t>
      </w:r>
    </w:p>
    <w:p w:rsidR="009B6E29" w:rsidRDefault="009B6E29" w:rsidP="009B6E29">
      <w:pPr>
        <w:rPr>
          <w:sz w:val="18"/>
        </w:rPr>
      </w:pPr>
    </w:p>
    <w:p w:rsidR="009B6E29" w:rsidRPr="009B6E29" w:rsidRDefault="009B6E29" w:rsidP="009B6E29">
      <w:pPr>
        <w:rPr>
          <w:sz w:val="18"/>
        </w:rPr>
      </w:pPr>
    </w:p>
    <w:p w:rsidR="009B6E29" w:rsidRPr="009B6E29" w:rsidRDefault="009B6E29" w:rsidP="009B6E29">
      <w:pPr>
        <w:pStyle w:val="ListParagraph"/>
        <w:numPr>
          <w:ilvl w:val="0"/>
          <w:numId w:val="1"/>
        </w:numPr>
        <w:rPr>
          <w:sz w:val="28"/>
          <w:szCs w:val="28"/>
        </w:rPr>
      </w:pPr>
      <w:r w:rsidRPr="009B6E29">
        <w:rPr>
          <w:sz w:val="28"/>
          <w:szCs w:val="28"/>
        </w:rPr>
        <w:t>Introduction and Objectives</w:t>
      </w:r>
    </w:p>
    <w:p w:rsidR="009B6E29" w:rsidRPr="009B6E29" w:rsidRDefault="009B6E29" w:rsidP="009B6E29">
      <w:pPr>
        <w:pStyle w:val="ListParagraph"/>
        <w:numPr>
          <w:ilvl w:val="0"/>
          <w:numId w:val="1"/>
        </w:numPr>
        <w:rPr>
          <w:sz w:val="28"/>
          <w:szCs w:val="28"/>
        </w:rPr>
      </w:pPr>
      <w:r w:rsidRPr="009B6E29">
        <w:rPr>
          <w:sz w:val="28"/>
          <w:szCs w:val="28"/>
        </w:rPr>
        <w:t>Historic and Architectural Significance</w:t>
      </w:r>
    </w:p>
    <w:p w:rsidR="009B6E29" w:rsidRPr="009B6E29" w:rsidRDefault="009B6E29" w:rsidP="009B6E29">
      <w:pPr>
        <w:pStyle w:val="ListParagraph"/>
        <w:numPr>
          <w:ilvl w:val="0"/>
          <w:numId w:val="1"/>
        </w:numPr>
        <w:rPr>
          <w:sz w:val="28"/>
          <w:szCs w:val="28"/>
        </w:rPr>
      </w:pPr>
      <w:r w:rsidRPr="009B6E29">
        <w:rPr>
          <w:sz w:val="28"/>
          <w:szCs w:val="28"/>
        </w:rPr>
        <w:t>Justification for Proposed Works</w:t>
      </w:r>
    </w:p>
    <w:p w:rsidR="009B6E29" w:rsidRPr="009B6E29" w:rsidRDefault="009B6E29" w:rsidP="009B6E29">
      <w:pPr>
        <w:pStyle w:val="ListParagraph"/>
        <w:numPr>
          <w:ilvl w:val="0"/>
          <w:numId w:val="1"/>
        </w:numPr>
        <w:rPr>
          <w:sz w:val="28"/>
          <w:szCs w:val="28"/>
        </w:rPr>
      </w:pPr>
      <w:r w:rsidRPr="009B6E29">
        <w:rPr>
          <w:sz w:val="28"/>
          <w:szCs w:val="28"/>
        </w:rPr>
        <w:t>Impact of Proposed Works</w:t>
      </w:r>
    </w:p>
    <w:p w:rsidR="009B6E29" w:rsidRPr="009B6E29" w:rsidRDefault="009B6E29" w:rsidP="009B6E29">
      <w:pPr>
        <w:pStyle w:val="ListParagraph"/>
        <w:numPr>
          <w:ilvl w:val="0"/>
          <w:numId w:val="1"/>
        </w:numPr>
        <w:rPr>
          <w:sz w:val="28"/>
          <w:szCs w:val="28"/>
        </w:rPr>
      </w:pPr>
      <w:r w:rsidRPr="009B6E29">
        <w:rPr>
          <w:sz w:val="28"/>
          <w:szCs w:val="28"/>
        </w:rPr>
        <w:t>Setting of the Listed Building</w:t>
      </w:r>
    </w:p>
    <w:p w:rsidR="009B6E29" w:rsidRPr="009B6E29" w:rsidRDefault="009B6E29" w:rsidP="009B6E29">
      <w:pPr>
        <w:pStyle w:val="ListParagraph"/>
        <w:numPr>
          <w:ilvl w:val="0"/>
          <w:numId w:val="1"/>
        </w:numPr>
        <w:rPr>
          <w:sz w:val="28"/>
          <w:szCs w:val="28"/>
        </w:rPr>
      </w:pPr>
      <w:r w:rsidRPr="009B6E29">
        <w:rPr>
          <w:sz w:val="28"/>
          <w:szCs w:val="28"/>
        </w:rPr>
        <w:t>Legislation and Policy</w:t>
      </w:r>
    </w:p>
    <w:p w:rsidR="009B6E29" w:rsidRPr="009B6E29" w:rsidRDefault="009B6E29" w:rsidP="009B6E29">
      <w:pPr>
        <w:pStyle w:val="ListParagraph"/>
        <w:numPr>
          <w:ilvl w:val="0"/>
          <w:numId w:val="1"/>
        </w:numPr>
        <w:rPr>
          <w:sz w:val="28"/>
          <w:szCs w:val="28"/>
        </w:rPr>
      </w:pPr>
      <w:r w:rsidRPr="009B6E29">
        <w:rPr>
          <w:sz w:val="28"/>
          <w:szCs w:val="28"/>
        </w:rPr>
        <w:t>Evaluation of the scheme in the context of the Conservation Principles</w:t>
      </w:r>
    </w:p>
    <w:p w:rsidR="009B6E29" w:rsidRPr="009B6E29" w:rsidRDefault="009B6E29" w:rsidP="009B6E29">
      <w:pPr>
        <w:pStyle w:val="ListParagraph"/>
        <w:numPr>
          <w:ilvl w:val="0"/>
          <w:numId w:val="1"/>
        </w:numPr>
        <w:rPr>
          <w:sz w:val="28"/>
          <w:szCs w:val="28"/>
        </w:rPr>
      </w:pPr>
      <w:r w:rsidRPr="009B6E29">
        <w:rPr>
          <w:sz w:val="28"/>
          <w:szCs w:val="28"/>
        </w:rPr>
        <w:t xml:space="preserve">Assessing the changes to in the context of the Conservation Principles </w:t>
      </w:r>
    </w:p>
    <w:p w:rsidR="009B6E29" w:rsidRDefault="009B6E29" w:rsidP="009B6E29">
      <w:pPr>
        <w:pStyle w:val="ListParagraph"/>
        <w:numPr>
          <w:ilvl w:val="0"/>
          <w:numId w:val="1"/>
        </w:numPr>
        <w:rPr>
          <w:sz w:val="28"/>
          <w:szCs w:val="28"/>
        </w:rPr>
      </w:pPr>
      <w:r w:rsidRPr="009B6E29">
        <w:rPr>
          <w:sz w:val="28"/>
          <w:szCs w:val="28"/>
        </w:rPr>
        <w:t>Conclusion</w:t>
      </w:r>
    </w:p>
    <w:p w:rsidR="009B6E29" w:rsidRPr="009B6E29" w:rsidRDefault="009B6E29" w:rsidP="009B6E29">
      <w:pPr>
        <w:pStyle w:val="ListParagraph"/>
        <w:rPr>
          <w:sz w:val="28"/>
          <w:szCs w:val="28"/>
        </w:rPr>
      </w:pPr>
    </w:p>
    <w:p w:rsidR="009B6E29" w:rsidRPr="009B6E29" w:rsidRDefault="009B6E29" w:rsidP="009B6E29">
      <w:pPr>
        <w:rPr>
          <w:sz w:val="28"/>
          <w:szCs w:val="28"/>
        </w:rPr>
      </w:pPr>
    </w:p>
    <w:p w:rsidR="009B6E29" w:rsidRPr="009B6E29" w:rsidRDefault="009B6E29" w:rsidP="009B6E29">
      <w:pPr>
        <w:rPr>
          <w:sz w:val="28"/>
          <w:szCs w:val="28"/>
        </w:rPr>
      </w:pPr>
      <w:r w:rsidRPr="009B6E29">
        <w:rPr>
          <w:sz w:val="28"/>
          <w:szCs w:val="28"/>
        </w:rPr>
        <w:t xml:space="preserve">Appendices </w:t>
      </w:r>
    </w:p>
    <w:p w:rsidR="009B6E29" w:rsidRPr="009B6E29" w:rsidRDefault="009B6E29" w:rsidP="009B6E29">
      <w:pPr>
        <w:rPr>
          <w:sz w:val="28"/>
          <w:szCs w:val="28"/>
        </w:rPr>
      </w:pPr>
      <w:r w:rsidRPr="009B6E29">
        <w:rPr>
          <w:sz w:val="28"/>
          <w:szCs w:val="28"/>
        </w:rPr>
        <w:t xml:space="preserve">Appendix A - CADW Listing </w:t>
      </w:r>
    </w:p>
    <w:p w:rsidR="009B6E29" w:rsidRPr="009B6E29" w:rsidRDefault="009B6E29" w:rsidP="009B6E29">
      <w:pPr>
        <w:rPr>
          <w:sz w:val="28"/>
          <w:szCs w:val="28"/>
        </w:rPr>
      </w:pPr>
      <w:r w:rsidRPr="009B6E29">
        <w:rPr>
          <w:sz w:val="28"/>
          <w:szCs w:val="28"/>
        </w:rPr>
        <w:t xml:space="preserve">Appendix B - Map from CADW website showing the listed properties on Acton Gate </w:t>
      </w:r>
    </w:p>
    <w:p w:rsidR="009B6E29" w:rsidRDefault="009B6E29" w:rsidP="009B6E29">
      <w:pPr>
        <w:rPr>
          <w:sz w:val="28"/>
          <w:szCs w:val="28"/>
        </w:rPr>
      </w:pPr>
      <w:r w:rsidRPr="009B6E29">
        <w:rPr>
          <w:sz w:val="28"/>
          <w:szCs w:val="28"/>
        </w:rPr>
        <w:t>Appendix C - Ordnance Survey Map - Denbighshire - Revised 1938</w:t>
      </w:r>
    </w:p>
    <w:p w:rsidR="009B6E29" w:rsidRDefault="009B6E29" w:rsidP="009B6E29">
      <w:pPr>
        <w:rPr>
          <w:sz w:val="28"/>
          <w:szCs w:val="28"/>
        </w:rPr>
      </w:pPr>
    </w:p>
    <w:p w:rsidR="009B6E29" w:rsidRDefault="009B6E29" w:rsidP="009B6E29">
      <w:pPr>
        <w:rPr>
          <w:sz w:val="28"/>
          <w:szCs w:val="28"/>
        </w:rPr>
      </w:pPr>
    </w:p>
    <w:p w:rsidR="009B6E29" w:rsidRDefault="009B6E29" w:rsidP="009B6E29">
      <w:pPr>
        <w:rPr>
          <w:sz w:val="28"/>
          <w:szCs w:val="28"/>
        </w:rPr>
      </w:pPr>
    </w:p>
    <w:p w:rsidR="009B6E29" w:rsidRDefault="009B6E29" w:rsidP="009B6E29">
      <w:pPr>
        <w:rPr>
          <w:sz w:val="28"/>
          <w:szCs w:val="28"/>
        </w:rPr>
      </w:pPr>
    </w:p>
    <w:p w:rsidR="009B6E29" w:rsidRDefault="009B6E29" w:rsidP="009B6E29">
      <w:pPr>
        <w:rPr>
          <w:sz w:val="28"/>
          <w:szCs w:val="28"/>
        </w:rPr>
      </w:pPr>
    </w:p>
    <w:p w:rsidR="009B6E29" w:rsidRDefault="009B6E29" w:rsidP="009B6E29">
      <w:pPr>
        <w:rPr>
          <w:sz w:val="28"/>
          <w:szCs w:val="28"/>
        </w:rPr>
      </w:pPr>
    </w:p>
    <w:p w:rsidR="009B6E29" w:rsidRDefault="009B6E29" w:rsidP="009B6E29">
      <w:pPr>
        <w:rPr>
          <w:sz w:val="28"/>
          <w:szCs w:val="28"/>
        </w:rPr>
      </w:pPr>
    </w:p>
    <w:p w:rsidR="009B6E29" w:rsidRDefault="009B6E29" w:rsidP="009B6E29">
      <w:pPr>
        <w:rPr>
          <w:sz w:val="28"/>
          <w:szCs w:val="28"/>
        </w:rPr>
      </w:pPr>
    </w:p>
    <w:p w:rsidR="009B6E29" w:rsidRDefault="009B6E29" w:rsidP="009B6E29">
      <w:pPr>
        <w:rPr>
          <w:sz w:val="28"/>
          <w:szCs w:val="28"/>
        </w:rPr>
      </w:pPr>
    </w:p>
    <w:p w:rsidR="009B6E29" w:rsidRDefault="009B6E29" w:rsidP="009B6E29">
      <w:pPr>
        <w:pStyle w:val="Heading2"/>
        <w:numPr>
          <w:ilvl w:val="0"/>
          <w:numId w:val="2"/>
        </w:numPr>
        <w:shd w:val="clear" w:color="auto" w:fill="9CC2E5" w:themeFill="accent1" w:themeFillTint="99"/>
        <w:rPr>
          <w:sz w:val="28"/>
        </w:rPr>
      </w:pPr>
      <w:r w:rsidRPr="009B6E29">
        <w:rPr>
          <w:sz w:val="28"/>
        </w:rPr>
        <w:lastRenderedPageBreak/>
        <w:t>Introduction and Objectives</w:t>
      </w:r>
    </w:p>
    <w:p w:rsidR="009B6E29" w:rsidRPr="009B6E29" w:rsidRDefault="009B6E29" w:rsidP="009B6E29">
      <w:pPr>
        <w:rPr>
          <w:sz w:val="24"/>
          <w:szCs w:val="24"/>
        </w:rPr>
      </w:pPr>
    </w:p>
    <w:p w:rsidR="009B6E29" w:rsidRPr="009B6E29" w:rsidRDefault="009B6E29" w:rsidP="009B6E29">
      <w:pPr>
        <w:rPr>
          <w:sz w:val="24"/>
          <w:szCs w:val="24"/>
        </w:rPr>
      </w:pPr>
      <w:r w:rsidRPr="002A15EC">
        <w:rPr>
          <w:sz w:val="24"/>
          <w:szCs w:val="24"/>
        </w:rPr>
        <w:t>1.1</w:t>
      </w:r>
      <w:r w:rsidR="00B62DDD" w:rsidRPr="002A15EC">
        <w:rPr>
          <w:sz w:val="24"/>
          <w:szCs w:val="24"/>
        </w:rPr>
        <w:t xml:space="preserve"> -</w:t>
      </w:r>
      <w:r w:rsidRPr="002A15EC">
        <w:rPr>
          <w:sz w:val="24"/>
          <w:szCs w:val="24"/>
        </w:rPr>
        <w:t xml:space="preserve"> This heritage statement has been prepared to accompany the listed building appl</w:t>
      </w:r>
      <w:r w:rsidR="002A15EC" w:rsidRPr="002A15EC">
        <w:rPr>
          <w:sz w:val="24"/>
          <w:szCs w:val="24"/>
        </w:rPr>
        <w:t>ication for proposed works at 67</w:t>
      </w:r>
      <w:r w:rsidRPr="002A15EC">
        <w:rPr>
          <w:sz w:val="24"/>
          <w:szCs w:val="24"/>
        </w:rPr>
        <w:t xml:space="preserve"> Acton Gate, Garden Village, Wrexham, LL11 2PW, namely the </w:t>
      </w:r>
      <w:r w:rsidR="002A15EC">
        <w:rPr>
          <w:sz w:val="24"/>
          <w:szCs w:val="24"/>
        </w:rPr>
        <w:t>removal of the interconnecting wall separating the kitchen from the sitting room to create a large</w:t>
      </w:r>
      <w:r w:rsidRPr="002A15EC">
        <w:rPr>
          <w:sz w:val="24"/>
          <w:szCs w:val="24"/>
        </w:rPr>
        <w:t xml:space="preserve"> a kitchen-dining room</w:t>
      </w:r>
      <w:r w:rsidR="002A15EC">
        <w:rPr>
          <w:sz w:val="24"/>
          <w:szCs w:val="24"/>
        </w:rPr>
        <w:t xml:space="preserve"> which is more</w:t>
      </w:r>
      <w:r w:rsidRPr="002A15EC">
        <w:rPr>
          <w:sz w:val="24"/>
          <w:szCs w:val="24"/>
        </w:rPr>
        <w:t xml:space="preserve"> suitable for modern-day living. This report draws on the guidance on the statutory requirement to prepare a heritage impact statement in tandem with an application for listed building consent. The guidance is complementary to the Historic Environment (Wales) Act 2016 and is underpinned by the modern conservation philosophy of CADW’s Conservation Principles for the Sustainable Management of the Historic Environment in Wales (2011)</w:t>
      </w:r>
    </w:p>
    <w:p w:rsidR="009B6E29" w:rsidRPr="009B6E29" w:rsidRDefault="009B6E29" w:rsidP="009B6E29">
      <w:pPr>
        <w:rPr>
          <w:sz w:val="24"/>
          <w:szCs w:val="24"/>
        </w:rPr>
      </w:pPr>
      <w:r w:rsidRPr="009B6E29">
        <w:rPr>
          <w:sz w:val="24"/>
          <w:szCs w:val="24"/>
        </w:rPr>
        <w:t xml:space="preserve">1.2 </w:t>
      </w:r>
      <w:r w:rsidR="00B62DDD">
        <w:rPr>
          <w:sz w:val="24"/>
          <w:szCs w:val="24"/>
        </w:rPr>
        <w:t xml:space="preserve">- </w:t>
      </w:r>
      <w:r w:rsidR="0056781D">
        <w:rPr>
          <w:sz w:val="24"/>
          <w:szCs w:val="24"/>
        </w:rPr>
        <w:t>67</w:t>
      </w:r>
      <w:r w:rsidRPr="009B6E29">
        <w:rPr>
          <w:sz w:val="24"/>
          <w:szCs w:val="24"/>
        </w:rPr>
        <w:t xml:space="preserve"> Acton Gate is a Grade II listed property, designated as such </w:t>
      </w:r>
      <w:r w:rsidRPr="00E01DC9">
        <w:rPr>
          <w:sz w:val="24"/>
          <w:szCs w:val="24"/>
        </w:rPr>
        <w:t>on 31st January 1994</w:t>
      </w:r>
      <w:r w:rsidRPr="009B6E29">
        <w:rPr>
          <w:sz w:val="24"/>
          <w:szCs w:val="24"/>
        </w:rPr>
        <w:t>. The listed building description as detailed on the CADW website is attached in Appendix A.</w:t>
      </w:r>
    </w:p>
    <w:p w:rsidR="009B6E29" w:rsidRPr="009B6E29" w:rsidRDefault="009B6E29" w:rsidP="009B6E29">
      <w:pPr>
        <w:rPr>
          <w:sz w:val="24"/>
          <w:szCs w:val="24"/>
        </w:rPr>
      </w:pPr>
      <w:r w:rsidRPr="009B6E29">
        <w:rPr>
          <w:sz w:val="24"/>
          <w:szCs w:val="24"/>
        </w:rPr>
        <w:t xml:space="preserve">1.3 </w:t>
      </w:r>
      <w:r w:rsidR="00B62DDD">
        <w:rPr>
          <w:sz w:val="24"/>
          <w:szCs w:val="24"/>
        </w:rPr>
        <w:t xml:space="preserve">- </w:t>
      </w:r>
      <w:r w:rsidRPr="009B6E29">
        <w:rPr>
          <w:sz w:val="24"/>
          <w:szCs w:val="24"/>
        </w:rPr>
        <w:t xml:space="preserve">Appendix B shows the Ordnance Survey map detailing the location of the property, also from the CADW website. </w:t>
      </w:r>
    </w:p>
    <w:p w:rsidR="009B6E29" w:rsidRPr="009B6E29" w:rsidRDefault="009B6E29" w:rsidP="009B6E29">
      <w:pPr>
        <w:rPr>
          <w:sz w:val="24"/>
          <w:szCs w:val="24"/>
        </w:rPr>
      </w:pPr>
      <w:r w:rsidRPr="009B6E29">
        <w:rPr>
          <w:sz w:val="24"/>
          <w:szCs w:val="24"/>
        </w:rPr>
        <w:t>1.4</w:t>
      </w:r>
      <w:r w:rsidR="00B62DDD">
        <w:rPr>
          <w:sz w:val="24"/>
          <w:szCs w:val="24"/>
        </w:rPr>
        <w:t xml:space="preserve"> -</w:t>
      </w:r>
      <w:r w:rsidRPr="009B6E29">
        <w:rPr>
          <w:sz w:val="24"/>
          <w:szCs w:val="24"/>
        </w:rPr>
        <w:t xml:space="preserve"> The listing covers a number of houses designed by Architect G. L. Sutcliffe, the group of four semi-detached houses on Acton Gate along with one larger detached house, were among the first to be built within the ambitious Garden Village Development. Sutcliffe was also responsible for the layout of the estate and also designed many of the other buildings within the estate. A copy of the plan for the 5 houses, taken from the deeds is shown below</w:t>
      </w:r>
    </w:p>
    <w:p w:rsidR="009B6E29" w:rsidRDefault="009B6E29" w:rsidP="009B6E29">
      <w:pPr>
        <w:jc w:val="center"/>
        <w:rPr>
          <w:sz w:val="24"/>
        </w:rPr>
      </w:pPr>
      <w:r>
        <w:rPr>
          <w:noProof/>
          <w:lang w:eastAsia="en-GB"/>
        </w:rPr>
        <w:drawing>
          <wp:inline distT="0" distB="0" distL="0" distR="0" wp14:anchorId="54DCAAA2" wp14:editId="2C82401B">
            <wp:extent cx="4981575" cy="4075034"/>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91551" cy="4083194"/>
                    </a:xfrm>
                    <a:prstGeom prst="rect">
                      <a:avLst/>
                    </a:prstGeom>
                  </pic:spPr>
                </pic:pic>
              </a:graphicData>
            </a:graphic>
          </wp:inline>
        </w:drawing>
      </w:r>
    </w:p>
    <w:p w:rsidR="00B62DDD" w:rsidRDefault="00B62DDD" w:rsidP="009B6E29">
      <w:pPr>
        <w:jc w:val="center"/>
        <w:rPr>
          <w:sz w:val="24"/>
        </w:rPr>
      </w:pPr>
    </w:p>
    <w:p w:rsidR="009B6E29" w:rsidRDefault="009B6E29" w:rsidP="009B6E29">
      <w:pPr>
        <w:jc w:val="center"/>
        <w:rPr>
          <w:sz w:val="24"/>
        </w:rPr>
      </w:pPr>
    </w:p>
    <w:p w:rsidR="009B6E29" w:rsidRDefault="009B6E29" w:rsidP="009B6E29">
      <w:pPr>
        <w:rPr>
          <w:sz w:val="24"/>
        </w:rPr>
      </w:pPr>
      <w:r w:rsidRPr="00B62DDD">
        <w:rPr>
          <w:sz w:val="24"/>
        </w:rPr>
        <w:t>1.5</w:t>
      </w:r>
      <w:r w:rsidR="00B62DDD" w:rsidRPr="00B62DDD">
        <w:rPr>
          <w:sz w:val="24"/>
        </w:rPr>
        <w:t xml:space="preserve"> -</w:t>
      </w:r>
      <w:r w:rsidR="00E01DC9">
        <w:rPr>
          <w:sz w:val="24"/>
        </w:rPr>
        <w:t xml:space="preserve"> 67</w:t>
      </w:r>
      <w:r w:rsidRPr="00B62DDD">
        <w:rPr>
          <w:sz w:val="24"/>
        </w:rPr>
        <w:t xml:space="preserve"> Acton Gate is a roughcast render over brick, bay fronted semi-detached house. Built around 1913 as part of the Wrexham Garden Village.</w:t>
      </w:r>
    </w:p>
    <w:p w:rsidR="00B62DDD" w:rsidRDefault="00B62DDD" w:rsidP="009B6E29">
      <w:pPr>
        <w:rPr>
          <w:sz w:val="24"/>
        </w:rPr>
      </w:pPr>
    </w:p>
    <w:p w:rsidR="00B62DDD" w:rsidRPr="008A0677" w:rsidRDefault="00B62DDD" w:rsidP="009B6E29">
      <w:pPr>
        <w:rPr>
          <w:sz w:val="24"/>
        </w:rPr>
      </w:pPr>
      <w:r w:rsidRPr="008A0677">
        <w:rPr>
          <w:sz w:val="24"/>
        </w:rPr>
        <w:t xml:space="preserve">1.6 - The proposal comprises the creation of a modern kitchen / dining </w:t>
      </w:r>
      <w:r w:rsidR="000276F7" w:rsidRPr="008A0677">
        <w:rPr>
          <w:sz w:val="24"/>
        </w:rPr>
        <w:t>and upgrading</w:t>
      </w:r>
      <w:r w:rsidRPr="008A0677">
        <w:rPr>
          <w:sz w:val="24"/>
        </w:rPr>
        <w:t xml:space="preserve"> the utilities throughout. A summary of the proposal is detailed below: </w:t>
      </w:r>
    </w:p>
    <w:p w:rsidR="0056781D" w:rsidRPr="00B62DDD" w:rsidRDefault="0056781D" w:rsidP="009B6E29">
      <w:pPr>
        <w:rPr>
          <w:sz w:val="24"/>
          <w:highlight w:val="yellow"/>
        </w:rPr>
      </w:pPr>
    </w:p>
    <w:p w:rsidR="004D5890" w:rsidRPr="00DF3DF6" w:rsidRDefault="004D5890" w:rsidP="004D5890">
      <w:pPr>
        <w:rPr>
          <w:sz w:val="24"/>
        </w:rPr>
      </w:pPr>
      <w:r w:rsidRPr="00DF3DF6">
        <w:rPr>
          <w:sz w:val="24"/>
        </w:rPr>
        <w:t>• Removal of interconnecting wall between the kitchen &amp; sitting room to created one large kitchen Diner.</w:t>
      </w:r>
      <w:r w:rsidR="00B62DDD" w:rsidRPr="00DF3DF6">
        <w:rPr>
          <w:sz w:val="24"/>
        </w:rPr>
        <w:t xml:space="preserve"> </w:t>
      </w:r>
    </w:p>
    <w:p w:rsidR="00834F4E" w:rsidRPr="00DF3DF6" w:rsidRDefault="00834F4E" w:rsidP="00834F4E">
      <w:pPr>
        <w:rPr>
          <w:sz w:val="24"/>
        </w:rPr>
      </w:pPr>
      <w:r w:rsidRPr="00DF3DF6">
        <w:rPr>
          <w:sz w:val="24"/>
        </w:rPr>
        <w:t>• Installation &amp; modernisation of Kitchen / dining room.</w:t>
      </w:r>
    </w:p>
    <w:p w:rsidR="004D5890" w:rsidRPr="00DF3DF6" w:rsidRDefault="00B62DDD" w:rsidP="004D5890">
      <w:pPr>
        <w:rPr>
          <w:sz w:val="24"/>
        </w:rPr>
      </w:pPr>
      <w:r w:rsidRPr="00DF3DF6">
        <w:rPr>
          <w:sz w:val="24"/>
        </w:rPr>
        <w:t>• Improvement</w:t>
      </w:r>
      <w:r w:rsidR="004D5890" w:rsidRPr="00DF3DF6">
        <w:rPr>
          <w:sz w:val="24"/>
        </w:rPr>
        <w:t>s to the utilities (throughout)</w:t>
      </w:r>
    </w:p>
    <w:p w:rsidR="00834F4E" w:rsidRPr="00DF3DF6" w:rsidRDefault="004D5890" w:rsidP="004D5890">
      <w:pPr>
        <w:rPr>
          <w:sz w:val="24"/>
        </w:rPr>
      </w:pPr>
      <w:r w:rsidRPr="00DF3DF6">
        <w:rPr>
          <w:sz w:val="24"/>
        </w:rPr>
        <w:t xml:space="preserve">• </w:t>
      </w:r>
      <w:r w:rsidR="00834F4E" w:rsidRPr="00DF3DF6">
        <w:rPr>
          <w:sz w:val="24"/>
        </w:rPr>
        <w:t>In</w:t>
      </w:r>
      <w:r w:rsidR="000276F7">
        <w:rPr>
          <w:sz w:val="24"/>
        </w:rPr>
        <w:t>stallation &amp; re-</w:t>
      </w:r>
      <w:r w:rsidR="009E1BFC">
        <w:rPr>
          <w:sz w:val="24"/>
        </w:rPr>
        <w:t>instatement of 3</w:t>
      </w:r>
      <w:r w:rsidR="00834F4E" w:rsidRPr="00DF3DF6">
        <w:rPr>
          <w:sz w:val="24"/>
        </w:rPr>
        <w:t xml:space="preserve"> traditional fireplaces on the ground floor.</w:t>
      </w:r>
    </w:p>
    <w:p w:rsidR="004D5890" w:rsidRPr="004D5890" w:rsidRDefault="004D5890" w:rsidP="004D5890">
      <w:pPr>
        <w:rPr>
          <w:sz w:val="24"/>
          <w:highlight w:val="yellow"/>
        </w:rPr>
      </w:pPr>
    </w:p>
    <w:p w:rsidR="0056781D" w:rsidRPr="00B62DDD" w:rsidRDefault="0056781D" w:rsidP="009B6E29">
      <w:pPr>
        <w:rPr>
          <w:sz w:val="24"/>
          <w:highlight w:val="yellow"/>
        </w:rPr>
      </w:pPr>
    </w:p>
    <w:p w:rsidR="00B62DDD" w:rsidRDefault="00B62DDD" w:rsidP="009B6E29">
      <w:pPr>
        <w:rPr>
          <w:sz w:val="24"/>
        </w:rPr>
      </w:pPr>
    </w:p>
    <w:p w:rsidR="00B62DDD" w:rsidRDefault="00B62DDD" w:rsidP="009B6E29">
      <w:pPr>
        <w:rPr>
          <w:sz w:val="24"/>
        </w:rPr>
      </w:pPr>
    </w:p>
    <w:p w:rsidR="00B62DDD" w:rsidRDefault="00B62DDD" w:rsidP="009B6E29">
      <w:pPr>
        <w:rPr>
          <w:sz w:val="24"/>
        </w:rPr>
      </w:pPr>
    </w:p>
    <w:p w:rsidR="00B62DDD" w:rsidRDefault="00B62DDD" w:rsidP="009B6E29">
      <w:pPr>
        <w:rPr>
          <w:sz w:val="24"/>
        </w:rPr>
      </w:pPr>
    </w:p>
    <w:p w:rsidR="00B62DDD" w:rsidRDefault="00B62DDD" w:rsidP="009B6E29">
      <w:pPr>
        <w:rPr>
          <w:sz w:val="24"/>
        </w:rPr>
      </w:pPr>
    </w:p>
    <w:p w:rsidR="00B62DDD" w:rsidRDefault="00B62DDD" w:rsidP="009B6E29">
      <w:pPr>
        <w:rPr>
          <w:sz w:val="24"/>
        </w:rPr>
      </w:pPr>
    </w:p>
    <w:p w:rsidR="00B62DDD" w:rsidRDefault="00B62DDD" w:rsidP="009B6E29">
      <w:pPr>
        <w:rPr>
          <w:sz w:val="24"/>
        </w:rPr>
      </w:pPr>
    </w:p>
    <w:p w:rsidR="00B62DDD" w:rsidRDefault="00B62DDD" w:rsidP="009B6E29">
      <w:pPr>
        <w:rPr>
          <w:sz w:val="24"/>
        </w:rPr>
      </w:pPr>
    </w:p>
    <w:p w:rsidR="00B62DDD" w:rsidRDefault="00B62DDD" w:rsidP="009B6E29">
      <w:pPr>
        <w:rPr>
          <w:sz w:val="24"/>
        </w:rPr>
      </w:pPr>
    </w:p>
    <w:p w:rsidR="00B62DDD" w:rsidRDefault="00B62DDD" w:rsidP="009B6E29">
      <w:pPr>
        <w:rPr>
          <w:sz w:val="24"/>
        </w:rPr>
      </w:pPr>
    </w:p>
    <w:p w:rsidR="00B62DDD" w:rsidRDefault="00B62DDD" w:rsidP="009B6E29">
      <w:pPr>
        <w:rPr>
          <w:sz w:val="24"/>
        </w:rPr>
      </w:pPr>
    </w:p>
    <w:p w:rsidR="00E01DC9" w:rsidRDefault="00E01DC9" w:rsidP="009B6E29">
      <w:pPr>
        <w:rPr>
          <w:sz w:val="24"/>
        </w:rPr>
      </w:pPr>
    </w:p>
    <w:p w:rsidR="00B62DDD" w:rsidRDefault="00B62DDD" w:rsidP="009B6E29">
      <w:pPr>
        <w:rPr>
          <w:sz w:val="24"/>
        </w:rPr>
      </w:pPr>
    </w:p>
    <w:p w:rsidR="00BB60F5" w:rsidRDefault="00BB60F5" w:rsidP="009B6E29">
      <w:pPr>
        <w:rPr>
          <w:sz w:val="24"/>
        </w:rPr>
      </w:pPr>
    </w:p>
    <w:p w:rsidR="00B62DDD" w:rsidRDefault="00B62DDD" w:rsidP="009B6E29">
      <w:pPr>
        <w:rPr>
          <w:sz w:val="24"/>
        </w:rPr>
      </w:pPr>
    </w:p>
    <w:p w:rsidR="00B62DDD" w:rsidRDefault="00B62DDD" w:rsidP="00B62DDD">
      <w:pPr>
        <w:pStyle w:val="Heading2"/>
        <w:numPr>
          <w:ilvl w:val="0"/>
          <w:numId w:val="2"/>
        </w:numPr>
        <w:shd w:val="clear" w:color="auto" w:fill="9CC2E5" w:themeFill="accent1" w:themeFillTint="99"/>
        <w:rPr>
          <w:sz w:val="28"/>
        </w:rPr>
      </w:pPr>
      <w:r w:rsidRPr="00B62DDD">
        <w:rPr>
          <w:sz w:val="28"/>
        </w:rPr>
        <w:lastRenderedPageBreak/>
        <w:t>Historical and architectural significance</w:t>
      </w:r>
    </w:p>
    <w:p w:rsidR="006957CD" w:rsidRDefault="006957CD" w:rsidP="006957CD">
      <w:pPr>
        <w:rPr>
          <w:sz w:val="24"/>
        </w:rPr>
      </w:pPr>
    </w:p>
    <w:p w:rsidR="00B62DDD" w:rsidRPr="006957CD" w:rsidRDefault="006957CD" w:rsidP="006957CD">
      <w:pPr>
        <w:rPr>
          <w:sz w:val="24"/>
        </w:rPr>
      </w:pPr>
      <w:r>
        <w:rPr>
          <w:sz w:val="24"/>
        </w:rPr>
        <w:t xml:space="preserve">2.1 - </w:t>
      </w:r>
      <w:r w:rsidR="00B62DDD" w:rsidRPr="006957CD">
        <w:rPr>
          <w:sz w:val="24"/>
        </w:rPr>
        <w:t>Historical Context. There is little recorded history about the house however there is some history in relation to the area that the house is located and the housing development that it formed part of. Garden Village is a suburb of the town of Wrexham and an electoral division (ward) in the community of Rhosddu in Wrexham County Borough, North Wales. At the start of the 20th century, the housing supply in many areas of Wrexham was of poor quality and, with the increase in industry locally, in short supply. The development of Garden Village began with the purchase of some 200 acres (81 hectares) of land from Sir Foster Cunliffe near to the estate of Acton by the Welsh Town Planning and Housing Trust Limited. The intention was to provide affordable housing to workers coming to Wrexham to work in the expanding industries of coal and iron. Gresford Colliery had recently been opened where it was expected that approximately 3,000 men would be employed in the next two years. A Co-partnership Housing Society was set up in 1913 called Wrexham Tenants Limited, with Lord Kenyon, Mr. David Davies, M.P., and others as Directors to build the houses, while the Trust would build the roads and supervise the development of the estate. The Architect chosen for the project was G.L Sutcliffe, who has become well known for his work on Brentham and Hampstead Garden Suburbs in London. Sutcliffe was keen to improve the living conditions of ordinary working people, and saw garden suburbs on the edge of existing cities as a more practical solution than free-standing Garden Cities on the Letchworth model. Sutcliffe had designed several large houses in the Surrey and Buckinghamshire commuter belt, in an attractive 'arts and crafts' style with gables and steeply-pitched tiled roofs. These features characterised the cottages and houses he designed within the various garden suburbs. Even when commissioned to plan a garden suburb for a northern city like Liverpool, he kept to the same style. An original artwork from the Hampstead Garden Suburb designed by the architect G.L. Sutcliffe is shown below</w:t>
      </w:r>
    </w:p>
    <w:p w:rsidR="00B62DDD" w:rsidRDefault="00B62DDD" w:rsidP="00B62DDD">
      <w:pPr>
        <w:pStyle w:val="ListParagraph"/>
        <w:ind w:left="780"/>
        <w:rPr>
          <w:sz w:val="24"/>
        </w:rPr>
      </w:pPr>
    </w:p>
    <w:p w:rsidR="00B62DDD" w:rsidRDefault="00B62DDD" w:rsidP="00B62DDD">
      <w:pPr>
        <w:pStyle w:val="ListParagraph"/>
        <w:ind w:left="780"/>
        <w:jc w:val="center"/>
        <w:rPr>
          <w:sz w:val="24"/>
        </w:rPr>
      </w:pPr>
      <w:r>
        <w:rPr>
          <w:noProof/>
          <w:lang w:eastAsia="en-GB"/>
        </w:rPr>
        <w:drawing>
          <wp:inline distT="0" distB="0" distL="0" distR="0" wp14:anchorId="514F04F1" wp14:editId="57BF862B">
            <wp:extent cx="4733333" cy="2819048"/>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733333" cy="2819048"/>
                    </a:xfrm>
                    <a:prstGeom prst="rect">
                      <a:avLst/>
                    </a:prstGeom>
                  </pic:spPr>
                </pic:pic>
              </a:graphicData>
            </a:graphic>
          </wp:inline>
        </w:drawing>
      </w:r>
    </w:p>
    <w:p w:rsidR="006957CD" w:rsidRDefault="002B08BD" w:rsidP="002B08BD">
      <w:pPr>
        <w:jc w:val="center"/>
        <w:rPr>
          <w:sz w:val="24"/>
        </w:rPr>
      </w:pPr>
      <w:r>
        <w:rPr>
          <w:noProof/>
          <w:lang w:eastAsia="en-GB"/>
        </w:rPr>
        <w:lastRenderedPageBreak/>
        <w:drawing>
          <wp:inline distT="0" distB="0" distL="0" distR="0" wp14:anchorId="71A455C8" wp14:editId="4D95B052">
            <wp:extent cx="6457143" cy="4323809"/>
            <wp:effectExtent l="0" t="0" r="127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457143" cy="4323809"/>
                    </a:xfrm>
                    <a:prstGeom prst="rect">
                      <a:avLst/>
                    </a:prstGeom>
                  </pic:spPr>
                </pic:pic>
              </a:graphicData>
            </a:graphic>
          </wp:inline>
        </w:drawing>
      </w:r>
    </w:p>
    <w:p w:rsidR="002B08BD" w:rsidRDefault="002B08BD" w:rsidP="002B08BD">
      <w:pPr>
        <w:jc w:val="center"/>
        <w:rPr>
          <w:sz w:val="24"/>
        </w:rPr>
      </w:pPr>
    </w:p>
    <w:p w:rsidR="00B62DDD" w:rsidRPr="006957CD" w:rsidRDefault="006957CD" w:rsidP="006957CD">
      <w:pPr>
        <w:rPr>
          <w:sz w:val="24"/>
        </w:rPr>
      </w:pPr>
      <w:r>
        <w:rPr>
          <w:sz w:val="24"/>
        </w:rPr>
        <w:t xml:space="preserve">2.2 - </w:t>
      </w:r>
      <w:r w:rsidR="00B62DDD" w:rsidRPr="006957CD">
        <w:rPr>
          <w:sz w:val="24"/>
        </w:rPr>
        <w:t>Sutcliffe's original plan for Garden Village in Wrexham was to provide a village institute, two places of worship, a school and plenty of open spaces and recreation grounds. The design was inspired by the Garden City Movement and was planned as a ‘Garden Suburb’. In the first year, 44 properties were completed; numbers 63-71 Acton Gate, numbers 149-167, Chester Road (originally called Bryn Acton) and Cunliffe Walk. These first house were designed by Sutcliffe and the remaining 205 by Thomas Alwyn Lloyd, architect to the trust. One of the pioneering features of the development was that the tenants were also investors in the Company 5 of 2</w:t>
      </w:r>
      <w:r w:rsidR="00E7179A">
        <w:rPr>
          <w:sz w:val="24"/>
        </w:rPr>
        <w:t>2 Heritage Impact Statement - 67</w:t>
      </w:r>
      <w:r w:rsidR="00B62DDD" w:rsidRPr="006957CD">
        <w:rPr>
          <w:sz w:val="24"/>
        </w:rPr>
        <w:t xml:space="preserve"> Acton Gate, Wrexham - February 2021 thus ensuring control of future development. The picture below shows the plan for Garden Village as referred to in the Conveyance of September 1923. Appendix C shows the Ordnance Survey map for the area from 1938 which shows the early development of Garden Village and the row of listed houses </w:t>
      </w:r>
      <w:r w:rsidR="00B62DDD" w:rsidRPr="006957CD">
        <w:rPr>
          <w:sz w:val="24"/>
          <w:szCs w:val="24"/>
        </w:rPr>
        <w:t>within Acton Gate.</w:t>
      </w:r>
    </w:p>
    <w:p w:rsidR="00B62DDD" w:rsidRDefault="00B62DDD">
      <w:pPr>
        <w:pStyle w:val="ListParagraph"/>
        <w:ind w:left="780"/>
        <w:rPr>
          <w:sz w:val="24"/>
        </w:rPr>
      </w:pPr>
    </w:p>
    <w:p w:rsidR="00B62DDD" w:rsidRDefault="00B62DDD" w:rsidP="00B62DDD">
      <w:pPr>
        <w:pStyle w:val="ListParagraph"/>
        <w:ind w:left="780"/>
        <w:jc w:val="center"/>
        <w:rPr>
          <w:sz w:val="24"/>
        </w:rPr>
      </w:pPr>
      <w:r>
        <w:rPr>
          <w:noProof/>
          <w:lang w:eastAsia="en-GB"/>
        </w:rPr>
        <w:lastRenderedPageBreak/>
        <w:drawing>
          <wp:inline distT="0" distB="0" distL="0" distR="0" wp14:anchorId="2EF886BE" wp14:editId="691D6F19">
            <wp:extent cx="4390116" cy="41243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94872" cy="4128793"/>
                    </a:xfrm>
                    <a:prstGeom prst="rect">
                      <a:avLst/>
                    </a:prstGeom>
                  </pic:spPr>
                </pic:pic>
              </a:graphicData>
            </a:graphic>
          </wp:inline>
        </w:drawing>
      </w:r>
    </w:p>
    <w:p w:rsidR="00B62DDD" w:rsidRDefault="00B62DDD" w:rsidP="00B62DDD">
      <w:pPr>
        <w:pStyle w:val="ListParagraph"/>
        <w:ind w:left="780"/>
        <w:jc w:val="center"/>
        <w:rPr>
          <w:sz w:val="24"/>
        </w:rPr>
      </w:pPr>
    </w:p>
    <w:p w:rsidR="00B62DDD" w:rsidRPr="006957CD" w:rsidRDefault="00B62DDD" w:rsidP="006957CD">
      <w:pPr>
        <w:rPr>
          <w:sz w:val="24"/>
        </w:rPr>
      </w:pPr>
      <w:r w:rsidRPr="006957CD">
        <w:rPr>
          <w:sz w:val="24"/>
        </w:rPr>
        <w:t xml:space="preserve">Unfortunately, with the advent of World War I, the development lost impetus and no further development was undertaken by Wrexham Tenants Limited. The planned shops, churches, institute and school were never built, although St Margaret's church was built in 1928, partly to the original design of Thomas Alwyn Lloyd. In 1955, Wrexham Tenants Limited was wound up and the properties sold to the tenants at greatly reduced prices of between £250 and £450. Analysis of the deeds (shown to the right) confirm that the house was first owned by Wrexham Tenants Limited as outlined above. It is believed that the houses on Acton Gate were occupied by the managers of the Gresford mine, with the workers from the mine occupying the houses in the remainder of the village. </w:t>
      </w:r>
    </w:p>
    <w:p w:rsidR="00B62DDD" w:rsidRDefault="00B62DDD" w:rsidP="00B62DDD">
      <w:pPr>
        <w:pStyle w:val="ListParagraph"/>
        <w:ind w:left="780"/>
        <w:rPr>
          <w:sz w:val="24"/>
        </w:rPr>
      </w:pPr>
    </w:p>
    <w:p w:rsidR="006957CD" w:rsidRDefault="006957CD" w:rsidP="006957CD">
      <w:pPr>
        <w:rPr>
          <w:sz w:val="24"/>
        </w:rPr>
      </w:pPr>
    </w:p>
    <w:p w:rsidR="00B62DDD" w:rsidRPr="006957CD" w:rsidRDefault="006957CD" w:rsidP="006957CD">
      <w:pPr>
        <w:rPr>
          <w:sz w:val="24"/>
        </w:rPr>
      </w:pPr>
      <w:r>
        <w:rPr>
          <w:sz w:val="24"/>
        </w:rPr>
        <w:t xml:space="preserve">2.2 - </w:t>
      </w:r>
      <w:r w:rsidR="00B62DDD" w:rsidRPr="006957CD">
        <w:rPr>
          <w:sz w:val="24"/>
        </w:rPr>
        <w:t>Aesthetic Context. 67 Acton Gate is a well-preserved example of a neo-vernacular style house, constructed with roughcast render over brick with grey slate roofs and brick axial and end wall stacks. Set over 2 storeys the house is a symmetrically planned 4-window range with advanced outer gables. The property's doorways are recessed in porches with round-arched entrances and the roof above swept down from the hipped gable. Gabled ranges have canted bay windows with slate roofs to the lower storey, and 3-light casement windows (renewed in original openings) above.</w:t>
      </w:r>
    </w:p>
    <w:p w:rsidR="00B62DDD" w:rsidRDefault="00B62DDD" w:rsidP="00B62DDD">
      <w:pPr>
        <w:pStyle w:val="ListParagraph"/>
        <w:ind w:left="780"/>
        <w:rPr>
          <w:sz w:val="24"/>
        </w:rPr>
      </w:pPr>
    </w:p>
    <w:p w:rsidR="00B62DDD" w:rsidRDefault="00B62DDD" w:rsidP="00B62DDD">
      <w:pPr>
        <w:ind w:left="360"/>
        <w:jc w:val="center"/>
        <w:rPr>
          <w:sz w:val="32"/>
        </w:rPr>
      </w:pPr>
      <w:r>
        <w:rPr>
          <w:noProof/>
          <w:lang w:eastAsia="en-GB"/>
        </w:rPr>
        <w:lastRenderedPageBreak/>
        <w:drawing>
          <wp:inline distT="0" distB="0" distL="0" distR="0" wp14:anchorId="2E54795C" wp14:editId="71D1C839">
            <wp:extent cx="5234329" cy="4429125"/>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44961" cy="4438122"/>
                    </a:xfrm>
                    <a:prstGeom prst="rect">
                      <a:avLst/>
                    </a:prstGeom>
                  </pic:spPr>
                </pic:pic>
              </a:graphicData>
            </a:graphic>
          </wp:inline>
        </w:drawing>
      </w:r>
    </w:p>
    <w:p w:rsidR="00732404" w:rsidRDefault="00732404" w:rsidP="00B62DDD">
      <w:pPr>
        <w:ind w:left="360"/>
        <w:jc w:val="center"/>
        <w:rPr>
          <w:sz w:val="32"/>
        </w:rPr>
      </w:pPr>
    </w:p>
    <w:p w:rsidR="00732404" w:rsidRDefault="00732404" w:rsidP="00732404">
      <w:pPr>
        <w:ind w:left="360"/>
        <w:rPr>
          <w:sz w:val="24"/>
        </w:rPr>
      </w:pPr>
      <w:r w:rsidRPr="00732404">
        <w:rPr>
          <w:sz w:val="24"/>
        </w:rPr>
        <w:t>The Central range between the gables has roof swept down and carried on chamfered and braced timber posts over a veranda, with French doors in return of gabled cross wing, and casement windows in main range. There is also a long dormer window of 4-lights in the roof above. Linked to the entrance blocks at either side, are hipped roofed garage extensions, which may be adapted from original outbuildings, and are similar in detail to the main building. The image above shows the current view of the property from the South East</w:t>
      </w:r>
      <w:r>
        <w:rPr>
          <w:sz w:val="24"/>
        </w:rPr>
        <w:t>.</w:t>
      </w:r>
    </w:p>
    <w:p w:rsidR="00732404" w:rsidRDefault="006957CD" w:rsidP="006957CD">
      <w:pPr>
        <w:pStyle w:val="ListParagraph"/>
        <w:numPr>
          <w:ilvl w:val="1"/>
          <w:numId w:val="4"/>
        </w:numPr>
        <w:rPr>
          <w:sz w:val="24"/>
        </w:rPr>
      </w:pPr>
      <w:r>
        <w:rPr>
          <w:sz w:val="24"/>
        </w:rPr>
        <w:t xml:space="preserve">- </w:t>
      </w:r>
      <w:r w:rsidR="00732404" w:rsidRPr="00732404">
        <w:rPr>
          <w:sz w:val="24"/>
        </w:rPr>
        <w:t>Communal Value. 67 Acton Gate does not hold any significant local status</w:t>
      </w:r>
      <w:r w:rsidR="002B08BD">
        <w:rPr>
          <w:sz w:val="24"/>
        </w:rPr>
        <w:t>.</w:t>
      </w:r>
    </w:p>
    <w:p w:rsidR="00732404" w:rsidRPr="00732404" w:rsidRDefault="00732404" w:rsidP="00732404">
      <w:pPr>
        <w:pStyle w:val="ListParagraph"/>
        <w:ind w:left="780"/>
        <w:rPr>
          <w:sz w:val="24"/>
        </w:rPr>
      </w:pPr>
    </w:p>
    <w:p w:rsidR="00732404" w:rsidRPr="006957CD" w:rsidRDefault="006957CD" w:rsidP="006957CD">
      <w:pPr>
        <w:pStyle w:val="ListParagraph"/>
        <w:numPr>
          <w:ilvl w:val="1"/>
          <w:numId w:val="4"/>
        </w:numPr>
        <w:rPr>
          <w:sz w:val="24"/>
        </w:rPr>
      </w:pPr>
      <w:r>
        <w:rPr>
          <w:sz w:val="24"/>
        </w:rPr>
        <w:t xml:space="preserve">- </w:t>
      </w:r>
      <w:r w:rsidR="00732404" w:rsidRPr="006957CD">
        <w:rPr>
          <w:sz w:val="24"/>
        </w:rPr>
        <w:t xml:space="preserve">Evidential Context. The structural history of the house is reasonably straightforward, and its major </w:t>
      </w:r>
      <w:r w:rsidRPr="006957CD">
        <w:rPr>
          <w:sz w:val="24"/>
        </w:rPr>
        <w:t xml:space="preserve">  </w:t>
      </w:r>
      <w:r w:rsidR="00732404" w:rsidRPr="006957CD">
        <w:rPr>
          <w:sz w:val="24"/>
        </w:rPr>
        <w:t xml:space="preserve">phases may be outlined as follows:- </w:t>
      </w:r>
    </w:p>
    <w:p w:rsidR="00732404" w:rsidRPr="00732404" w:rsidRDefault="00732404" w:rsidP="00732404">
      <w:pPr>
        <w:pStyle w:val="ListParagraph"/>
        <w:rPr>
          <w:sz w:val="24"/>
        </w:rPr>
      </w:pPr>
    </w:p>
    <w:p w:rsidR="00A61115" w:rsidRDefault="00732404" w:rsidP="002B08BD">
      <w:pPr>
        <w:rPr>
          <w:sz w:val="24"/>
        </w:rPr>
      </w:pPr>
      <w:r w:rsidRPr="008A0677">
        <w:rPr>
          <w:sz w:val="24"/>
        </w:rPr>
        <w:t xml:space="preserve">• Phase 1. circa 1916, construction of the house </w:t>
      </w:r>
    </w:p>
    <w:p w:rsidR="00732404" w:rsidRPr="008A0677" w:rsidRDefault="00732404" w:rsidP="002B08BD">
      <w:pPr>
        <w:rPr>
          <w:sz w:val="24"/>
        </w:rPr>
      </w:pPr>
      <w:r w:rsidRPr="008A0677">
        <w:rPr>
          <w:sz w:val="24"/>
        </w:rPr>
        <w:t>• Phase 2. circa 19</w:t>
      </w:r>
      <w:r w:rsidR="002B08BD" w:rsidRPr="008A0677">
        <w:rPr>
          <w:sz w:val="24"/>
        </w:rPr>
        <w:t>80, extension of the utility room to the rear of the property with the installation of a flat roof.</w:t>
      </w:r>
    </w:p>
    <w:p w:rsidR="00732404" w:rsidRPr="008A0677" w:rsidRDefault="002B08BD" w:rsidP="00732404">
      <w:pPr>
        <w:rPr>
          <w:sz w:val="24"/>
        </w:rPr>
      </w:pPr>
      <w:r w:rsidRPr="008A0677">
        <w:rPr>
          <w:sz w:val="24"/>
        </w:rPr>
        <w:t xml:space="preserve"> • (Listing of 67</w:t>
      </w:r>
      <w:r w:rsidR="00732404" w:rsidRPr="008A0677">
        <w:rPr>
          <w:sz w:val="24"/>
        </w:rPr>
        <w:t xml:space="preserve"> Acton Gate - 31/01/1994) </w:t>
      </w:r>
    </w:p>
    <w:p w:rsidR="00732404" w:rsidRDefault="00732404" w:rsidP="00732404">
      <w:pPr>
        <w:rPr>
          <w:sz w:val="24"/>
        </w:rPr>
      </w:pPr>
      <w:r w:rsidRPr="008A0677">
        <w:rPr>
          <w:sz w:val="24"/>
        </w:rPr>
        <w:t>• Phase 5, circa 201</w:t>
      </w:r>
      <w:r w:rsidR="000276F7" w:rsidRPr="008A0677">
        <w:rPr>
          <w:sz w:val="24"/>
        </w:rPr>
        <w:t>7</w:t>
      </w:r>
      <w:r w:rsidRPr="008A0677">
        <w:rPr>
          <w:sz w:val="24"/>
        </w:rPr>
        <w:t>, installation of combination style gas boiler as an upgrade to the existing heating and hot water system.</w:t>
      </w:r>
    </w:p>
    <w:p w:rsidR="009E1BFC" w:rsidRDefault="009E1BFC" w:rsidP="00732404">
      <w:pPr>
        <w:rPr>
          <w:sz w:val="24"/>
        </w:rPr>
      </w:pPr>
    </w:p>
    <w:p w:rsidR="00826056" w:rsidRDefault="00826056" w:rsidP="006957CD">
      <w:pPr>
        <w:rPr>
          <w:sz w:val="24"/>
        </w:rPr>
      </w:pPr>
      <w:r>
        <w:rPr>
          <w:sz w:val="24"/>
        </w:rPr>
        <w:t>2</w:t>
      </w:r>
      <w:r w:rsidR="00A77AC4">
        <w:rPr>
          <w:sz w:val="24"/>
        </w:rPr>
        <w:t xml:space="preserve">.5 </w:t>
      </w:r>
      <w:r w:rsidR="00845FEC">
        <w:rPr>
          <w:sz w:val="24"/>
        </w:rPr>
        <w:t xml:space="preserve">- </w:t>
      </w:r>
      <w:r>
        <w:rPr>
          <w:sz w:val="24"/>
        </w:rPr>
        <w:t xml:space="preserve">Remove, replace and update dated kitchen with a fresh but traditional kitchen which is in more up keeping with the character of the property. </w:t>
      </w:r>
    </w:p>
    <w:p w:rsidR="009E1BFC" w:rsidRDefault="00F349A4" w:rsidP="006957CD">
      <w:pPr>
        <w:rPr>
          <w:sz w:val="24"/>
        </w:rPr>
      </w:pPr>
      <w:r>
        <w:rPr>
          <w:sz w:val="24"/>
        </w:rPr>
        <w:t>Due to the compact size of the kitchen, we propose to remove the wall between the kitchen and sitting room installing an RSJ to make one large open plan kitchen. As per th</w:t>
      </w:r>
      <w:r w:rsidR="00845FEC">
        <w:rPr>
          <w:sz w:val="24"/>
        </w:rPr>
        <w:t>e struct</w:t>
      </w:r>
      <w:r w:rsidR="00E40827">
        <w:rPr>
          <w:sz w:val="24"/>
        </w:rPr>
        <w:t>ural engineering report &amp; drawing.</w:t>
      </w:r>
    </w:p>
    <w:p w:rsidR="00845FEC" w:rsidRDefault="00845FEC" w:rsidP="006957CD">
      <w:pPr>
        <w:rPr>
          <w:sz w:val="24"/>
        </w:rPr>
      </w:pPr>
      <w:r>
        <w:rPr>
          <w:sz w:val="24"/>
        </w:rPr>
        <w:t xml:space="preserve">Below is </w:t>
      </w:r>
      <w:r w:rsidR="00004EBA">
        <w:rPr>
          <w:sz w:val="24"/>
        </w:rPr>
        <w:t>the current Kitchen</w:t>
      </w:r>
      <w:r w:rsidR="00915720">
        <w:rPr>
          <w:sz w:val="24"/>
        </w:rPr>
        <w:t xml:space="preserve"> design</w:t>
      </w:r>
      <w:r w:rsidR="00004EBA">
        <w:rPr>
          <w:sz w:val="24"/>
        </w:rPr>
        <w:t xml:space="preserve"> with the highlighted wall that we would like to remove.</w:t>
      </w:r>
    </w:p>
    <w:p w:rsidR="000276F7" w:rsidRDefault="000276F7" w:rsidP="006957CD">
      <w:pPr>
        <w:rPr>
          <w:sz w:val="24"/>
        </w:rPr>
      </w:pPr>
      <w:r>
        <w:rPr>
          <w:sz w:val="24"/>
        </w:rPr>
        <w:t xml:space="preserve">The 2 rooms have an overall difference in height by around 6 inches, with the shorter ceiling being in the kitchen. We propose to </w:t>
      </w:r>
      <w:r w:rsidR="001101E3">
        <w:rPr>
          <w:sz w:val="24"/>
        </w:rPr>
        <w:t>keep the ceiling the same height in each room</w:t>
      </w:r>
      <w:r>
        <w:rPr>
          <w:sz w:val="24"/>
        </w:rPr>
        <w:t xml:space="preserve"> </w:t>
      </w:r>
      <w:r w:rsidR="00C124FE">
        <w:rPr>
          <w:sz w:val="24"/>
        </w:rPr>
        <w:t>which will delineate betw</w:t>
      </w:r>
      <w:r w:rsidR="00E40827">
        <w:rPr>
          <w:sz w:val="24"/>
        </w:rPr>
        <w:t>een the 2 original floor spaces, showing that they use to be 2 separate rooms.</w:t>
      </w:r>
    </w:p>
    <w:p w:rsidR="009E1BFC" w:rsidRDefault="009E1BFC" w:rsidP="006957CD">
      <w:pPr>
        <w:rPr>
          <w:sz w:val="24"/>
        </w:rPr>
      </w:pPr>
    </w:p>
    <w:p w:rsidR="009E1BFC" w:rsidRDefault="009E1BFC" w:rsidP="006957CD">
      <w:pPr>
        <w:rPr>
          <w:sz w:val="24"/>
        </w:rPr>
      </w:pPr>
    </w:p>
    <w:p w:rsidR="00A77AC4" w:rsidRDefault="00826056" w:rsidP="006957CD">
      <w:pPr>
        <w:rPr>
          <w:noProof/>
          <w:lang w:eastAsia="en-GB"/>
        </w:rPr>
      </w:pPr>
      <w:r>
        <w:rPr>
          <w:noProof/>
          <w:lang w:eastAsia="en-GB"/>
        </w:rPr>
        <w:drawing>
          <wp:inline distT="0" distB="0" distL="0" distR="0" wp14:anchorId="27B8D4E2" wp14:editId="78CBB917">
            <wp:extent cx="3124823" cy="37433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139341" cy="3760716"/>
                    </a:xfrm>
                    <a:prstGeom prst="rect">
                      <a:avLst/>
                    </a:prstGeom>
                  </pic:spPr>
                </pic:pic>
              </a:graphicData>
            </a:graphic>
          </wp:inline>
        </w:drawing>
      </w:r>
      <w:r>
        <w:rPr>
          <w:sz w:val="24"/>
        </w:rPr>
        <w:t xml:space="preserve"> </w:t>
      </w:r>
      <w:r w:rsidR="00F349A4">
        <w:rPr>
          <w:noProof/>
          <w:lang w:eastAsia="en-GB"/>
        </w:rPr>
        <w:tab/>
      </w:r>
      <w:r w:rsidR="00F349A4">
        <w:rPr>
          <w:noProof/>
          <w:lang w:eastAsia="en-GB"/>
        </w:rPr>
        <w:drawing>
          <wp:inline distT="0" distB="0" distL="0" distR="0" wp14:anchorId="7A7DD93E" wp14:editId="28627DDB">
            <wp:extent cx="3108960" cy="3746988"/>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129083" cy="3771241"/>
                    </a:xfrm>
                    <a:prstGeom prst="rect">
                      <a:avLst/>
                    </a:prstGeom>
                  </pic:spPr>
                </pic:pic>
              </a:graphicData>
            </a:graphic>
          </wp:inline>
        </w:drawing>
      </w:r>
    </w:p>
    <w:p w:rsidR="00C124FE" w:rsidRDefault="00C124FE" w:rsidP="006957CD">
      <w:pPr>
        <w:rPr>
          <w:noProof/>
          <w:lang w:eastAsia="en-GB"/>
        </w:rPr>
      </w:pPr>
    </w:p>
    <w:p w:rsidR="009E1BFC" w:rsidRDefault="009E1BFC" w:rsidP="006957CD">
      <w:pPr>
        <w:rPr>
          <w:noProof/>
          <w:lang w:eastAsia="en-GB"/>
        </w:rPr>
      </w:pPr>
    </w:p>
    <w:p w:rsidR="009E1BFC" w:rsidRDefault="009E1BFC" w:rsidP="006957CD">
      <w:pPr>
        <w:rPr>
          <w:noProof/>
          <w:lang w:eastAsia="en-GB"/>
        </w:rPr>
      </w:pPr>
    </w:p>
    <w:p w:rsidR="009E1BFC" w:rsidRDefault="009E1BFC" w:rsidP="006957CD">
      <w:pPr>
        <w:rPr>
          <w:noProof/>
          <w:sz w:val="24"/>
          <w:lang w:eastAsia="en-GB"/>
        </w:rPr>
      </w:pPr>
    </w:p>
    <w:p w:rsidR="00AC2FBF" w:rsidRDefault="00AC2FBF" w:rsidP="006957CD">
      <w:pPr>
        <w:rPr>
          <w:noProof/>
          <w:sz w:val="24"/>
          <w:lang w:eastAsia="en-GB"/>
        </w:rPr>
      </w:pPr>
    </w:p>
    <w:p w:rsidR="002118C5" w:rsidRDefault="002118C5" w:rsidP="006957CD">
      <w:pPr>
        <w:rPr>
          <w:noProof/>
          <w:sz w:val="24"/>
          <w:lang w:eastAsia="en-GB"/>
        </w:rPr>
      </w:pPr>
    </w:p>
    <w:p w:rsidR="00004EBA" w:rsidRDefault="00004EBA" w:rsidP="006957CD">
      <w:pPr>
        <w:rPr>
          <w:noProof/>
          <w:sz w:val="24"/>
          <w:lang w:eastAsia="en-GB"/>
        </w:rPr>
      </w:pPr>
      <w:r w:rsidRPr="00915720">
        <w:rPr>
          <w:noProof/>
          <w:sz w:val="24"/>
          <w:lang w:eastAsia="en-GB"/>
        </w:rPr>
        <w:lastRenderedPageBreak/>
        <w:t>Sitting room –</w:t>
      </w:r>
    </w:p>
    <w:p w:rsidR="00004EBA" w:rsidRDefault="00F74B9F" w:rsidP="00004EBA">
      <w:pPr>
        <w:jc w:val="center"/>
        <w:rPr>
          <w:noProof/>
          <w:lang w:eastAsia="en-GB"/>
        </w:rPr>
      </w:pPr>
      <w:r>
        <w:rPr>
          <w:noProof/>
          <w:lang w:eastAsia="en-GB"/>
        </w:rPr>
        <w:drawing>
          <wp:inline distT="0" distB="0" distL="0" distR="0" wp14:anchorId="167CBB1D" wp14:editId="3A9738AD">
            <wp:extent cx="3918031" cy="307075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922058" cy="3073907"/>
                    </a:xfrm>
                    <a:prstGeom prst="rect">
                      <a:avLst/>
                    </a:prstGeom>
                  </pic:spPr>
                </pic:pic>
              </a:graphicData>
            </a:graphic>
          </wp:inline>
        </w:drawing>
      </w:r>
    </w:p>
    <w:p w:rsidR="00F74B9F" w:rsidRDefault="00915720" w:rsidP="002118C5">
      <w:pPr>
        <w:rPr>
          <w:noProof/>
          <w:lang w:eastAsia="en-GB"/>
        </w:rPr>
      </w:pPr>
      <w:r w:rsidRPr="00915720">
        <w:rPr>
          <w:noProof/>
          <w:sz w:val="24"/>
          <w:lang w:eastAsia="en-GB"/>
        </w:rPr>
        <w:t xml:space="preserve">Current </w:t>
      </w:r>
      <w:r w:rsidR="00004EBA" w:rsidRPr="00915720">
        <w:rPr>
          <w:noProof/>
          <w:sz w:val="24"/>
          <w:lang w:eastAsia="en-GB"/>
        </w:rPr>
        <w:t>L</w:t>
      </w:r>
      <w:r w:rsidRPr="00915720">
        <w:rPr>
          <w:noProof/>
          <w:sz w:val="24"/>
          <w:lang w:eastAsia="en-GB"/>
        </w:rPr>
        <w:t>ayout with the proposed highlighted wall that we would like to remov</w:t>
      </w:r>
      <w:r w:rsidR="002118C5">
        <w:rPr>
          <w:noProof/>
          <w:sz w:val="24"/>
          <w:lang w:eastAsia="en-GB"/>
        </w:rPr>
        <w:t>e</w:t>
      </w:r>
      <w:r w:rsidRPr="00915720">
        <w:rPr>
          <w:noProof/>
          <w:sz w:val="24"/>
          <w:lang w:eastAsia="en-GB"/>
        </w:rPr>
        <w:t xml:space="preserve"> </w:t>
      </w:r>
      <w:r w:rsidR="00BB60F5">
        <w:rPr>
          <w:noProof/>
          <w:sz w:val="24"/>
          <w:lang w:eastAsia="en-GB"/>
        </w:rPr>
        <w:t>–</w:t>
      </w:r>
    </w:p>
    <w:p w:rsidR="00F74B9F" w:rsidRDefault="00F74B9F" w:rsidP="00F349A4">
      <w:pPr>
        <w:jc w:val="center"/>
        <w:rPr>
          <w:noProof/>
          <w:lang w:eastAsia="en-GB"/>
        </w:rPr>
      </w:pPr>
    </w:p>
    <w:p w:rsidR="00F349A4" w:rsidRDefault="00F349A4" w:rsidP="00F349A4">
      <w:pPr>
        <w:jc w:val="center"/>
        <w:rPr>
          <w:sz w:val="24"/>
        </w:rPr>
      </w:pPr>
      <w:r>
        <w:rPr>
          <w:noProof/>
          <w:lang w:eastAsia="en-GB"/>
        </w:rPr>
        <w:drawing>
          <wp:inline distT="0" distB="0" distL="0" distR="0" wp14:anchorId="6B17AD0D" wp14:editId="653DDC51">
            <wp:extent cx="5446644" cy="4274154"/>
            <wp:effectExtent l="0" t="0" r="190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77326" cy="4298231"/>
                    </a:xfrm>
                    <a:prstGeom prst="rect">
                      <a:avLst/>
                    </a:prstGeom>
                  </pic:spPr>
                </pic:pic>
              </a:graphicData>
            </a:graphic>
          </wp:inline>
        </w:drawing>
      </w:r>
    </w:p>
    <w:p w:rsidR="009E1BFC" w:rsidRDefault="009E1BFC" w:rsidP="00F349A4">
      <w:pPr>
        <w:jc w:val="center"/>
        <w:rPr>
          <w:sz w:val="24"/>
        </w:rPr>
      </w:pPr>
    </w:p>
    <w:p w:rsidR="00F74B9F" w:rsidRDefault="00F74B9F" w:rsidP="00F349A4">
      <w:pPr>
        <w:jc w:val="center"/>
        <w:rPr>
          <w:sz w:val="24"/>
        </w:rPr>
      </w:pPr>
    </w:p>
    <w:p w:rsidR="00004EBA" w:rsidRDefault="00004EBA" w:rsidP="006957CD">
      <w:pPr>
        <w:rPr>
          <w:sz w:val="24"/>
        </w:rPr>
      </w:pPr>
      <w:r>
        <w:rPr>
          <w:sz w:val="24"/>
        </w:rPr>
        <w:lastRenderedPageBreak/>
        <w:t>Below is the proj</w:t>
      </w:r>
      <w:r w:rsidR="00347D52">
        <w:rPr>
          <w:sz w:val="24"/>
        </w:rPr>
        <w:t>ec</w:t>
      </w:r>
      <w:r w:rsidR="00AC2FBF">
        <w:rPr>
          <w:sz w:val="24"/>
        </w:rPr>
        <w:t xml:space="preserve">ted Kitchen design &amp; layout, </w:t>
      </w:r>
      <w:r w:rsidR="008A0677" w:rsidRPr="008A0677">
        <w:rPr>
          <w:sz w:val="24"/>
        </w:rPr>
        <w:t xml:space="preserve">with the difference in ceiling heights highlighted. </w:t>
      </w:r>
    </w:p>
    <w:p w:rsidR="00004EBA" w:rsidRDefault="00F74B9F" w:rsidP="00004EBA">
      <w:pPr>
        <w:jc w:val="center"/>
        <w:rPr>
          <w:sz w:val="24"/>
        </w:rPr>
      </w:pPr>
      <w:r>
        <w:rPr>
          <w:noProof/>
          <w:lang w:eastAsia="en-GB"/>
        </w:rPr>
        <w:t>#</w:t>
      </w:r>
      <w:r w:rsidR="008A0677">
        <w:rPr>
          <w:noProof/>
          <w:lang w:eastAsia="en-GB"/>
        </w:rPr>
        <w:drawing>
          <wp:inline distT="0" distB="0" distL="0" distR="0" wp14:anchorId="02FDB837" wp14:editId="7ECEE77E">
            <wp:extent cx="6645910" cy="602107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645910" cy="6021070"/>
                    </a:xfrm>
                    <a:prstGeom prst="rect">
                      <a:avLst/>
                    </a:prstGeom>
                  </pic:spPr>
                </pic:pic>
              </a:graphicData>
            </a:graphic>
          </wp:inline>
        </w:drawing>
      </w:r>
    </w:p>
    <w:p w:rsidR="009E1BFC" w:rsidRDefault="009E1BFC" w:rsidP="00004EBA">
      <w:pPr>
        <w:jc w:val="center"/>
        <w:rPr>
          <w:sz w:val="24"/>
        </w:rPr>
      </w:pPr>
    </w:p>
    <w:p w:rsidR="009E1BFC" w:rsidRDefault="009E1BFC" w:rsidP="00004EBA">
      <w:pPr>
        <w:jc w:val="center"/>
        <w:rPr>
          <w:sz w:val="24"/>
        </w:rPr>
      </w:pPr>
    </w:p>
    <w:p w:rsidR="009E1BFC" w:rsidRDefault="009E1BFC" w:rsidP="00004EBA">
      <w:pPr>
        <w:jc w:val="center"/>
        <w:rPr>
          <w:sz w:val="24"/>
        </w:rPr>
      </w:pPr>
    </w:p>
    <w:p w:rsidR="009E1BFC" w:rsidRDefault="009E1BFC" w:rsidP="00004EBA">
      <w:pPr>
        <w:jc w:val="center"/>
        <w:rPr>
          <w:sz w:val="24"/>
        </w:rPr>
      </w:pPr>
    </w:p>
    <w:p w:rsidR="009E1BFC" w:rsidRDefault="009E1BFC" w:rsidP="00004EBA">
      <w:pPr>
        <w:jc w:val="center"/>
        <w:rPr>
          <w:sz w:val="24"/>
        </w:rPr>
      </w:pPr>
    </w:p>
    <w:p w:rsidR="009E1BFC" w:rsidRDefault="009E1BFC" w:rsidP="00004EBA">
      <w:pPr>
        <w:jc w:val="center"/>
        <w:rPr>
          <w:sz w:val="24"/>
        </w:rPr>
      </w:pPr>
    </w:p>
    <w:p w:rsidR="009E1BFC" w:rsidRDefault="009E1BFC" w:rsidP="00004EBA">
      <w:pPr>
        <w:jc w:val="center"/>
        <w:rPr>
          <w:sz w:val="24"/>
        </w:rPr>
      </w:pPr>
    </w:p>
    <w:p w:rsidR="009E1BFC" w:rsidRDefault="009E1BFC" w:rsidP="00004EBA">
      <w:pPr>
        <w:jc w:val="center"/>
        <w:rPr>
          <w:sz w:val="24"/>
        </w:rPr>
      </w:pPr>
    </w:p>
    <w:p w:rsidR="009E1BFC" w:rsidRPr="009E1BFC" w:rsidRDefault="009E1BFC" w:rsidP="009E1BFC">
      <w:pPr>
        <w:pStyle w:val="ListParagraph"/>
        <w:numPr>
          <w:ilvl w:val="0"/>
          <w:numId w:val="10"/>
        </w:numPr>
        <w:rPr>
          <w:sz w:val="24"/>
        </w:rPr>
      </w:pPr>
      <w:r>
        <w:rPr>
          <w:sz w:val="24"/>
        </w:rPr>
        <w:lastRenderedPageBreak/>
        <w:t xml:space="preserve">Structural Engineer Drawing / layout - </w:t>
      </w:r>
    </w:p>
    <w:p w:rsidR="009E1BFC" w:rsidRDefault="009E1BFC" w:rsidP="00004EBA">
      <w:pPr>
        <w:jc w:val="center"/>
        <w:rPr>
          <w:sz w:val="24"/>
        </w:rPr>
      </w:pPr>
      <w:r>
        <w:rPr>
          <w:noProof/>
          <w:lang w:eastAsia="en-GB"/>
        </w:rPr>
        <w:drawing>
          <wp:inline distT="0" distB="0" distL="0" distR="0" wp14:anchorId="5DFE16B3" wp14:editId="77B9B8BA">
            <wp:extent cx="6895708" cy="3967701"/>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963534" cy="4006727"/>
                    </a:xfrm>
                    <a:prstGeom prst="rect">
                      <a:avLst/>
                    </a:prstGeom>
                  </pic:spPr>
                </pic:pic>
              </a:graphicData>
            </a:graphic>
          </wp:inline>
        </w:drawing>
      </w:r>
    </w:p>
    <w:p w:rsidR="009E1BFC" w:rsidRDefault="009E1BFC" w:rsidP="008B1A09">
      <w:pPr>
        <w:rPr>
          <w:noProof/>
          <w:sz w:val="22"/>
          <w:lang w:eastAsia="en-GB"/>
        </w:rPr>
      </w:pPr>
    </w:p>
    <w:p w:rsidR="008B1A09" w:rsidRPr="00AC2FBF" w:rsidRDefault="00FE2AD1" w:rsidP="008B1A09">
      <w:pPr>
        <w:rPr>
          <w:noProof/>
          <w:sz w:val="22"/>
          <w:lang w:eastAsia="en-GB"/>
        </w:rPr>
      </w:pPr>
      <w:r w:rsidRPr="00AC2FBF">
        <w:rPr>
          <w:noProof/>
          <w:sz w:val="22"/>
          <w:lang w:eastAsia="en-GB"/>
        </w:rPr>
        <w:t xml:space="preserve">2.6 - </w:t>
      </w:r>
      <w:r w:rsidR="008B1A09" w:rsidRPr="00AC2FBF">
        <w:rPr>
          <w:noProof/>
          <w:sz w:val="22"/>
          <w:lang w:eastAsia="en-GB"/>
        </w:rPr>
        <w:t xml:space="preserve">The property currently has 3 fireplaces on the ground floor level. </w:t>
      </w:r>
    </w:p>
    <w:p w:rsidR="002B08BD" w:rsidRPr="00AC2FBF" w:rsidRDefault="008B1A09" w:rsidP="008B1A09">
      <w:pPr>
        <w:rPr>
          <w:noProof/>
          <w:sz w:val="22"/>
          <w:lang w:eastAsia="en-GB"/>
        </w:rPr>
      </w:pPr>
      <w:r w:rsidRPr="00AC2FBF">
        <w:rPr>
          <w:noProof/>
          <w:sz w:val="22"/>
          <w:lang w:eastAsia="en-GB"/>
        </w:rPr>
        <w:t xml:space="preserve">Fireplace 1 in the living room has been </w:t>
      </w:r>
      <w:r w:rsidR="009E1BFC">
        <w:rPr>
          <w:noProof/>
          <w:sz w:val="22"/>
          <w:lang w:eastAsia="en-GB"/>
        </w:rPr>
        <w:t xml:space="preserve">converted to a dated non original gas fire &amp; surround. </w:t>
      </w:r>
    </w:p>
    <w:p w:rsidR="008B1A09" w:rsidRDefault="009B5A30" w:rsidP="008B1A09">
      <w:pPr>
        <w:rPr>
          <w:noProof/>
          <w:lang w:eastAsia="en-GB"/>
        </w:rPr>
      </w:pPr>
      <w:r>
        <w:rPr>
          <w:noProof/>
          <w:lang w:eastAsia="en-GB"/>
        </w:rPr>
        <w:t>Living room -</w:t>
      </w:r>
      <w:r w:rsidR="008B1A09">
        <w:rPr>
          <w:noProof/>
          <w:lang w:eastAsia="en-GB"/>
        </w:rPr>
        <w:t xml:space="preserve"> </w:t>
      </w:r>
    </w:p>
    <w:p w:rsidR="00A06674" w:rsidRDefault="00A06674" w:rsidP="009E1BFC">
      <w:pPr>
        <w:jc w:val="center"/>
        <w:rPr>
          <w:sz w:val="24"/>
        </w:rPr>
      </w:pPr>
      <w:r>
        <w:rPr>
          <w:noProof/>
          <w:lang w:eastAsia="en-GB"/>
        </w:rPr>
        <w:drawing>
          <wp:inline distT="0" distB="0" distL="0" distR="0" wp14:anchorId="478BBDA3" wp14:editId="06B1C52B">
            <wp:extent cx="3792772" cy="2911077"/>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869366" cy="2969866"/>
                    </a:xfrm>
                    <a:prstGeom prst="rect">
                      <a:avLst/>
                    </a:prstGeom>
                  </pic:spPr>
                </pic:pic>
              </a:graphicData>
            </a:graphic>
          </wp:inline>
        </w:drawing>
      </w:r>
    </w:p>
    <w:p w:rsidR="00AC2FBF" w:rsidRDefault="00AC2FBF" w:rsidP="008B1A09"/>
    <w:p w:rsidR="00AC2FBF" w:rsidRDefault="00AC2FBF" w:rsidP="008B1A09"/>
    <w:p w:rsidR="00AC2FBF" w:rsidRDefault="00AC2FBF" w:rsidP="008B1A09"/>
    <w:p w:rsidR="009B5A30" w:rsidRDefault="009B5A30" w:rsidP="008B1A09">
      <w:r w:rsidRPr="00E7179A">
        <w:t>Dining Room –</w:t>
      </w:r>
    </w:p>
    <w:p w:rsidR="002B08BD" w:rsidRPr="00E7179A" w:rsidRDefault="002B08BD" w:rsidP="002B08BD">
      <w:pPr>
        <w:jc w:val="center"/>
      </w:pPr>
      <w:r>
        <w:rPr>
          <w:noProof/>
          <w:lang w:eastAsia="en-GB"/>
        </w:rPr>
        <w:drawing>
          <wp:inline distT="0" distB="0" distL="0" distR="0" wp14:anchorId="428741BF" wp14:editId="720ACE24">
            <wp:extent cx="4407288" cy="409651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414266" cy="4102998"/>
                    </a:xfrm>
                    <a:prstGeom prst="rect">
                      <a:avLst/>
                    </a:prstGeom>
                  </pic:spPr>
                </pic:pic>
              </a:graphicData>
            </a:graphic>
          </wp:inline>
        </w:drawing>
      </w:r>
    </w:p>
    <w:p w:rsidR="009B5A30" w:rsidRPr="00AC2FBF" w:rsidRDefault="009B5A30" w:rsidP="008B1A09">
      <w:pPr>
        <w:rPr>
          <w:sz w:val="22"/>
        </w:rPr>
      </w:pPr>
      <w:r w:rsidRPr="00AC2FBF">
        <w:rPr>
          <w:sz w:val="22"/>
        </w:rPr>
        <w:t>At present the dining room f</w:t>
      </w:r>
      <w:r w:rsidR="009E1BFC">
        <w:rPr>
          <w:sz w:val="22"/>
        </w:rPr>
        <w:t>ireplace is boarded up, we plan</w:t>
      </w:r>
      <w:r w:rsidRPr="00AC2FBF">
        <w:rPr>
          <w:sz w:val="22"/>
        </w:rPr>
        <w:t xml:space="preserve"> to re-instate the fireplace with a traditional log burner.</w:t>
      </w:r>
    </w:p>
    <w:p w:rsidR="009B5A30" w:rsidRPr="00E7179A" w:rsidRDefault="009B5A30" w:rsidP="008B1A09">
      <w:r w:rsidRPr="00E7179A">
        <w:t xml:space="preserve">Sitting room – </w:t>
      </w:r>
    </w:p>
    <w:p w:rsidR="00C124FE" w:rsidRDefault="00C124FE" w:rsidP="002B08BD">
      <w:pPr>
        <w:jc w:val="center"/>
        <w:rPr>
          <w:sz w:val="24"/>
        </w:rPr>
      </w:pPr>
      <w:r>
        <w:rPr>
          <w:noProof/>
          <w:lang w:eastAsia="en-GB"/>
        </w:rPr>
        <w:drawing>
          <wp:inline distT="0" distB="0" distL="0" distR="0" wp14:anchorId="1C2FC875" wp14:editId="50CB666D">
            <wp:extent cx="3613746" cy="3411109"/>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672780" cy="3466832"/>
                    </a:xfrm>
                    <a:prstGeom prst="rect">
                      <a:avLst/>
                    </a:prstGeom>
                  </pic:spPr>
                </pic:pic>
              </a:graphicData>
            </a:graphic>
          </wp:inline>
        </w:drawing>
      </w:r>
    </w:p>
    <w:p w:rsidR="00BB60F5" w:rsidRDefault="00BB60F5" w:rsidP="002B08BD">
      <w:pPr>
        <w:jc w:val="center"/>
        <w:rPr>
          <w:sz w:val="24"/>
        </w:rPr>
      </w:pPr>
    </w:p>
    <w:p w:rsidR="009B5A30" w:rsidRPr="00E7179A" w:rsidRDefault="009B5A30" w:rsidP="008B1A09">
      <w:pPr>
        <w:rPr>
          <w:sz w:val="22"/>
        </w:rPr>
      </w:pPr>
      <w:r w:rsidRPr="00E7179A">
        <w:rPr>
          <w:sz w:val="22"/>
        </w:rPr>
        <w:lastRenderedPageBreak/>
        <w:t>The fireplace in the sitting room is an open fire place with a dated</w:t>
      </w:r>
      <w:r w:rsidR="009E1BFC">
        <w:rPr>
          <w:sz w:val="22"/>
        </w:rPr>
        <w:t xml:space="preserve"> non-original fire</w:t>
      </w:r>
      <w:r w:rsidRPr="00E7179A">
        <w:rPr>
          <w:sz w:val="22"/>
        </w:rPr>
        <w:t xml:space="preserve"> surround.</w:t>
      </w:r>
    </w:p>
    <w:p w:rsidR="009B5A30" w:rsidRDefault="009B5A30" w:rsidP="008B1A09">
      <w:pPr>
        <w:rPr>
          <w:sz w:val="22"/>
        </w:rPr>
      </w:pPr>
      <w:r w:rsidRPr="00E7179A">
        <w:rPr>
          <w:sz w:val="22"/>
        </w:rPr>
        <w:t xml:space="preserve">Two side cupboards have been fitted to either side of the chimney which currently hide the chimney breast. We would like to remove these 2 cupboards and expose the chimney breast, </w:t>
      </w:r>
      <w:r w:rsidR="000107E3" w:rsidRPr="00E7179A">
        <w:rPr>
          <w:sz w:val="22"/>
        </w:rPr>
        <w:t xml:space="preserve">and install a traditional </w:t>
      </w:r>
      <w:r w:rsidR="00FE2AD1">
        <w:rPr>
          <w:sz w:val="22"/>
        </w:rPr>
        <w:t xml:space="preserve">period </w:t>
      </w:r>
      <w:r w:rsidR="000107E3" w:rsidRPr="00E7179A">
        <w:rPr>
          <w:sz w:val="22"/>
        </w:rPr>
        <w:t>fireplace which will be the main focal point of the family home (example picture below)</w:t>
      </w:r>
    </w:p>
    <w:p w:rsidR="009A7A16" w:rsidRDefault="009A7A16" w:rsidP="008B1A09">
      <w:pPr>
        <w:rPr>
          <w:sz w:val="22"/>
        </w:rPr>
      </w:pPr>
      <w:r>
        <w:rPr>
          <w:sz w:val="22"/>
        </w:rPr>
        <w:t>This style will be the same for the Dining &amp; living room.</w:t>
      </w:r>
    </w:p>
    <w:p w:rsidR="009A7A16" w:rsidRPr="00E7179A" w:rsidRDefault="009A7A16" w:rsidP="009A7A16">
      <w:pPr>
        <w:jc w:val="center"/>
        <w:rPr>
          <w:sz w:val="22"/>
        </w:rPr>
      </w:pPr>
      <w:r>
        <w:rPr>
          <w:noProof/>
          <w:lang w:eastAsia="en-GB"/>
        </w:rPr>
        <w:drawing>
          <wp:inline distT="0" distB="0" distL="0" distR="0" wp14:anchorId="0940DDA2" wp14:editId="317C02B6">
            <wp:extent cx="3542857" cy="3447619"/>
            <wp:effectExtent l="0" t="0" r="635"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542857" cy="3447619"/>
                    </a:xfrm>
                    <a:prstGeom prst="rect">
                      <a:avLst/>
                    </a:prstGeom>
                  </pic:spPr>
                </pic:pic>
              </a:graphicData>
            </a:graphic>
          </wp:inline>
        </w:drawing>
      </w:r>
    </w:p>
    <w:p w:rsidR="008B1A09" w:rsidRDefault="008B1A09" w:rsidP="008B1A09">
      <w:pPr>
        <w:jc w:val="center"/>
        <w:rPr>
          <w:sz w:val="24"/>
        </w:rPr>
      </w:pPr>
      <w:r>
        <w:rPr>
          <w:noProof/>
          <w:lang w:eastAsia="en-GB"/>
        </w:rPr>
        <w:drawing>
          <wp:inline distT="0" distB="0" distL="0" distR="0" wp14:anchorId="148B996A" wp14:editId="4A892451">
            <wp:extent cx="4900789" cy="3770882"/>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926941" cy="3791004"/>
                    </a:xfrm>
                    <a:prstGeom prst="rect">
                      <a:avLst/>
                    </a:prstGeom>
                  </pic:spPr>
                </pic:pic>
              </a:graphicData>
            </a:graphic>
          </wp:inline>
        </w:drawing>
      </w:r>
    </w:p>
    <w:p w:rsidR="00FE2AD1" w:rsidRDefault="00FE2AD1" w:rsidP="008B1A09">
      <w:pPr>
        <w:jc w:val="center"/>
        <w:rPr>
          <w:sz w:val="24"/>
        </w:rPr>
      </w:pPr>
    </w:p>
    <w:p w:rsidR="00A03C76" w:rsidRDefault="00A03C76" w:rsidP="00A03C76">
      <w:pPr>
        <w:rPr>
          <w:sz w:val="24"/>
        </w:rPr>
      </w:pPr>
      <w:r>
        <w:rPr>
          <w:sz w:val="24"/>
        </w:rPr>
        <w:lastRenderedPageBreak/>
        <w:t>2</w:t>
      </w:r>
      <w:r w:rsidR="00F60B28">
        <w:rPr>
          <w:sz w:val="24"/>
        </w:rPr>
        <w:t>.7</w:t>
      </w:r>
      <w:r>
        <w:rPr>
          <w:sz w:val="24"/>
        </w:rPr>
        <w:t xml:space="preserve"> – Installation of new radiators </w:t>
      </w:r>
    </w:p>
    <w:p w:rsidR="00A03C76" w:rsidRDefault="00A03C76" w:rsidP="00A03C76">
      <w:pPr>
        <w:rPr>
          <w:sz w:val="24"/>
        </w:rPr>
      </w:pPr>
      <w:r>
        <w:rPr>
          <w:sz w:val="24"/>
        </w:rPr>
        <w:t xml:space="preserve">We would like to install new </w:t>
      </w:r>
      <w:r w:rsidR="007C52B6">
        <w:rPr>
          <w:sz w:val="24"/>
        </w:rPr>
        <w:t>energy efficient double panel convector radiators.</w:t>
      </w:r>
    </w:p>
    <w:p w:rsidR="007C52B6" w:rsidRDefault="007C52B6" w:rsidP="00A03C76">
      <w:pPr>
        <w:rPr>
          <w:sz w:val="24"/>
        </w:rPr>
      </w:pPr>
      <w:r>
        <w:rPr>
          <w:sz w:val="24"/>
        </w:rPr>
        <w:t>As the boiler was replaced in 2017 there will be no new water pipes fitted as the previous &amp; current locations are fit for purpose.</w:t>
      </w:r>
      <w:r w:rsidR="00584AD6">
        <w:rPr>
          <w:sz w:val="24"/>
        </w:rPr>
        <w:t xml:space="preserve"> </w:t>
      </w:r>
    </w:p>
    <w:p w:rsidR="00AC2FBF" w:rsidRDefault="00AC2FBF" w:rsidP="00A03C76">
      <w:pPr>
        <w:rPr>
          <w:sz w:val="24"/>
        </w:rPr>
      </w:pPr>
    </w:p>
    <w:p w:rsidR="007C52B6" w:rsidRDefault="007C52B6" w:rsidP="00A03C76">
      <w:pPr>
        <w:rPr>
          <w:sz w:val="24"/>
        </w:rPr>
      </w:pPr>
      <w:r>
        <w:rPr>
          <w:sz w:val="24"/>
        </w:rPr>
        <w:t>New energy efficient radiator -</w:t>
      </w:r>
      <w:r w:rsidR="00A07493">
        <w:rPr>
          <w:sz w:val="24"/>
        </w:rPr>
        <w:tab/>
      </w:r>
      <w:r w:rsidR="00A07493">
        <w:rPr>
          <w:sz w:val="24"/>
        </w:rPr>
        <w:tab/>
      </w:r>
      <w:r w:rsidR="00A07493">
        <w:rPr>
          <w:sz w:val="24"/>
        </w:rPr>
        <w:tab/>
        <w:t xml:space="preserve">       Current radiators </w:t>
      </w:r>
      <w:r w:rsidR="00737B47">
        <w:rPr>
          <w:sz w:val="24"/>
        </w:rPr>
        <w:t>–</w:t>
      </w:r>
    </w:p>
    <w:p w:rsidR="007C52B6" w:rsidRDefault="007C52B6" w:rsidP="00A03C76">
      <w:pPr>
        <w:rPr>
          <w:sz w:val="24"/>
        </w:rPr>
      </w:pPr>
      <w:r>
        <w:rPr>
          <w:noProof/>
          <w:lang w:eastAsia="en-GB"/>
        </w:rPr>
        <w:drawing>
          <wp:inline distT="0" distB="0" distL="0" distR="0" wp14:anchorId="023FBEFE" wp14:editId="1D120314">
            <wp:extent cx="3247619" cy="332380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247619" cy="3323809"/>
                    </a:xfrm>
                    <a:prstGeom prst="rect">
                      <a:avLst/>
                    </a:prstGeom>
                  </pic:spPr>
                </pic:pic>
              </a:graphicData>
            </a:graphic>
          </wp:inline>
        </w:drawing>
      </w:r>
      <w:r w:rsidR="00A07493">
        <w:rPr>
          <w:sz w:val="24"/>
        </w:rPr>
        <w:t xml:space="preserve">      </w:t>
      </w:r>
      <w:r>
        <w:rPr>
          <w:noProof/>
          <w:lang w:eastAsia="en-GB"/>
        </w:rPr>
        <w:drawing>
          <wp:inline distT="0" distB="0" distL="0" distR="0" wp14:anchorId="3B0523AB" wp14:editId="771A6FDB">
            <wp:extent cx="3131185" cy="332092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156412" cy="3347677"/>
                    </a:xfrm>
                    <a:prstGeom prst="rect">
                      <a:avLst/>
                    </a:prstGeom>
                  </pic:spPr>
                </pic:pic>
              </a:graphicData>
            </a:graphic>
          </wp:inline>
        </w:drawing>
      </w:r>
    </w:p>
    <w:p w:rsidR="00F60B28" w:rsidRDefault="00F60B28" w:rsidP="00A03C76">
      <w:pPr>
        <w:rPr>
          <w:sz w:val="24"/>
        </w:rPr>
      </w:pPr>
    </w:p>
    <w:p w:rsidR="00F60B28" w:rsidRDefault="00F60B28" w:rsidP="00A03C76">
      <w:pPr>
        <w:rPr>
          <w:sz w:val="24"/>
        </w:rPr>
      </w:pPr>
    </w:p>
    <w:p w:rsidR="00F60B28" w:rsidRDefault="00F60B28" w:rsidP="00A03C76">
      <w:pPr>
        <w:rPr>
          <w:sz w:val="24"/>
        </w:rPr>
      </w:pPr>
    </w:p>
    <w:p w:rsidR="00F60B28" w:rsidRDefault="00F60B28" w:rsidP="00A03C76">
      <w:pPr>
        <w:rPr>
          <w:sz w:val="24"/>
        </w:rPr>
      </w:pPr>
    </w:p>
    <w:p w:rsidR="00F60B28" w:rsidRDefault="00F60B28" w:rsidP="00A03C76">
      <w:pPr>
        <w:rPr>
          <w:sz w:val="24"/>
        </w:rPr>
      </w:pPr>
    </w:p>
    <w:p w:rsidR="00F60B28" w:rsidRDefault="00F60B28" w:rsidP="00A03C76">
      <w:pPr>
        <w:rPr>
          <w:sz w:val="24"/>
        </w:rPr>
      </w:pPr>
    </w:p>
    <w:p w:rsidR="00F60B28" w:rsidRDefault="00F60B28" w:rsidP="00A03C76">
      <w:pPr>
        <w:rPr>
          <w:sz w:val="24"/>
        </w:rPr>
      </w:pPr>
    </w:p>
    <w:p w:rsidR="00F60B28" w:rsidRDefault="00F60B28" w:rsidP="00A03C76">
      <w:pPr>
        <w:rPr>
          <w:sz w:val="24"/>
        </w:rPr>
      </w:pPr>
    </w:p>
    <w:p w:rsidR="00F60B28" w:rsidRDefault="00F60B28" w:rsidP="00A03C76">
      <w:pPr>
        <w:rPr>
          <w:sz w:val="24"/>
        </w:rPr>
      </w:pPr>
    </w:p>
    <w:p w:rsidR="00F60B28" w:rsidRDefault="00F60B28" w:rsidP="00A03C76">
      <w:pPr>
        <w:rPr>
          <w:sz w:val="24"/>
        </w:rPr>
      </w:pPr>
    </w:p>
    <w:p w:rsidR="002118C5" w:rsidRDefault="002118C5" w:rsidP="00A03C76">
      <w:pPr>
        <w:rPr>
          <w:sz w:val="24"/>
        </w:rPr>
      </w:pPr>
    </w:p>
    <w:p w:rsidR="00FE2AD1" w:rsidRDefault="00F60B28" w:rsidP="00584AD6">
      <w:pPr>
        <w:rPr>
          <w:sz w:val="24"/>
        </w:rPr>
      </w:pPr>
      <w:r>
        <w:rPr>
          <w:sz w:val="24"/>
        </w:rPr>
        <w:lastRenderedPageBreak/>
        <w:t>The pipework on one wall in the Kitchen</w:t>
      </w:r>
      <w:r w:rsidR="00584AD6">
        <w:rPr>
          <w:sz w:val="24"/>
        </w:rPr>
        <w:t xml:space="preserve"> is hidden by plastic conduit. We would like to chase the pipe into the wall and fill with Lime plaster, specification below </w:t>
      </w:r>
      <w:r w:rsidR="00DC51F4">
        <w:rPr>
          <w:sz w:val="24"/>
        </w:rPr>
        <w:t>–</w:t>
      </w:r>
      <w:r w:rsidR="00584AD6">
        <w:rPr>
          <w:sz w:val="24"/>
        </w:rPr>
        <w:t xml:space="preserve"> </w:t>
      </w:r>
    </w:p>
    <w:p w:rsidR="002118C5" w:rsidRDefault="002118C5" w:rsidP="00584AD6">
      <w:pPr>
        <w:rPr>
          <w:sz w:val="24"/>
        </w:rPr>
      </w:pPr>
    </w:p>
    <w:tbl>
      <w:tblPr>
        <w:tblW w:w="8780" w:type="dxa"/>
        <w:jc w:val="center"/>
        <w:tblLook w:val="04A0" w:firstRow="1" w:lastRow="0" w:firstColumn="1" w:lastColumn="0" w:noHBand="0" w:noVBand="1"/>
      </w:tblPr>
      <w:tblGrid>
        <w:gridCol w:w="4720"/>
        <w:gridCol w:w="4060"/>
      </w:tblGrid>
      <w:tr w:rsidR="00DC51F4" w:rsidRPr="00DC51F4" w:rsidTr="00DC51F4">
        <w:trPr>
          <w:trHeight w:val="300"/>
          <w:jc w:val="center"/>
        </w:trPr>
        <w:tc>
          <w:tcPr>
            <w:tcW w:w="4720"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rsidR="00DC51F4" w:rsidRPr="00DC51F4" w:rsidRDefault="00DC51F4" w:rsidP="00DC51F4">
            <w:pPr>
              <w:spacing w:before="0" w:after="0" w:line="240" w:lineRule="auto"/>
              <w:rPr>
                <w:rFonts w:ascii="Calibri" w:eastAsia="Times New Roman" w:hAnsi="Calibri" w:cs="Calibri"/>
                <w:b/>
                <w:bCs/>
                <w:color w:val="000000"/>
                <w:sz w:val="22"/>
                <w:szCs w:val="22"/>
                <w:u w:val="single"/>
                <w:lang w:eastAsia="en-GB"/>
              </w:rPr>
            </w:pPr>
            <w:r w:rsidRPr="00DC51F4">
              <w:rPr>
                <w:rFonts w:ascii="Calibri" w:eastAsia="Times New Roman" w:hAnsi="Calibri" w:cs="Calibri"/>
                <w:b/>
                <w:bCs/>
                <w:color w:val="000000"/>
                <w:sz w:val="22"/>
                <w:szCs w:val="22"/>
                <w:u w:val="single"/>
                <w:lang w:eastAsia="en-GB"/>
              </w:rPr>
              <w:t xml:space="preserve">Technical Data </w:t>
            </w:r>
            <w:r>
              <w:rPr>
                <w:rFonts w:ascii="Calibri" w:eastAsia="Times New Roman" w:hAnsi="Calibri" w:cs="Calibri"/>
                <w:b/>
                <w:bCs/>
                <w:color w:val="000000"/>
                <w:sz w:val="22"/>
                <w:szCs w:val="22"/>
                <w:u w:val="single"/>
                <w:lang w:eastAsia="en-GB"/>
              </w:rPr>
              <w:t xml:space="preserve">– Lime plaster Non-Hydraulic </w:t>
            </w:r>
          </w:p>
        </w:tc>
        <w:tc>
          <w:tcPr>
            <w:tcW w:w="4060" w:type="dxa"/>
            <w:tcBorders>
              <w:top w:val="nil"/>
              <w:left w:val="nil"/>
              <w:bottom w:val="nil"/>
              <w:right w:val="nil"/>
            </w:tcBorders>
            <w:shd w:val="clear" w:color="auto" w:fill="auto"/>
            <w:noWrap/>
            <w:vAlign w:val="bottom"/>
            <w:hideMark/>
          </w:tcPr>
          <w:p w:rsidR="00DC51F4" w:rsidRPr="00DC51F4" w:rsidRDefault="00DC51F4" w:rsidP="00DC51F4">
            <w:pPr>
              <w:spacing w:before="0" w:after="0" w:line="240" w:lineRule="auto"/>
              <w:rPr>
                <w:rFonts w:ascii="Calibri" w:eastAsia="Times New Roman" w:hAnsi="Calibri" w:cs="Calibri"/>
                <w:b/>
                <w:bCs/>
                <w:color w:val="000000"/>
                <w:sz w:val="22"/>
                <w:szCs w:val="22"/>
                <w:u w:val="single"/>
                <w:lang w:eastAsia="en-GB"/>
              </w:rPr>
            </w:pPr>
          </w:p>
        </w:tc>
      </w:tr>
      <w:tr w:rsidR="00DC51F4" w:rsidRPr="00DC51F4" w:rsidTr="00DC51F4">
        <w:trPr>
          <w:trHeight w:val="300"/>
          <w:jc w:val="center"/>
        </w:trPr>
        <w:tc>
          <w:tcPr>
            <w:tcW w:w="4720" w:type="dxa"/>
            <w:tcBorders>
              <w:top w:val="nil"/>
              <w:left w:val="single" w:sz="4" w:space="0" w:color="auto"/>
              <w:bottom w:val="single" w:sz="4" w:space="0" w:color="auto"/>
              <w:right w:val="single" w:sz="4" w:space="0" w:color="auto"/>
            </w:tcBorders>
            <w:shd w:val="clear" w:color="000000" w:fill="DDEBF7"/>
            <w:noWrap/>
            <w:vAlign w:val="bottom"/>
            <w:hideMark/>
          </w:tcPr>
          <w:p w:rsidR="00DC51F4" w:rsidRPr="00DC51F4" w:rsidRDefault="00DC51F4" w:rsidP="00DC51F4">
            <w:pPr>
              <w:spacing w:before="0" w:after="0" w:line="240" w:lineRule="auto"/>
              <w:rPr>
                <w:rFonts w:ascii="Calibri" w:eastAsia="Times New Roman" w:hAnsi="Calibri" w:cs="Calibri"/>
                <w:b/>
                <w:bCs/>
                <w:sz w:val="22"/>
                <w:szCs w:val="22"/>
                <w:lang w:eastAsia="en-GB"/>
              </w:rPr>
            </w:pPr>
            <w:r w:rsidRPr="00DC51F4">
              <w:rPr>
                <w:rFonts w:ascii="Calibri" w:eastAsia="Times New Roman" w:hAnsi="Calibri" w:cs="Calibri"/>
                <w:b/>
                <w:bCs/>
                <w:sz w:val="22"/>
                <w:szCs w:val="22"/>
                <w:lang w:eastAsia="en-GB"/>
              </w:rPr>
              <w:t>Specification</w:t>
            </w:r>
          </w:p>
        </w:tc>
        <w:tc>
          <w:tcPr>
            <w:tcW w:w="4060" w:type="dxa"/>
            <w:tcBorders>
              <w:top w:val="single" w:sz="4" w:space="0" w:color="auto"/>
              <w:left w:val="nil"/>
              <w:bottom w:val="single" w:sz="4" w:space="0" w:color="auto"/>
              <w:right w:val="single" w:sz="4" w:space="0" w:color="auto"/>
            </w:tcBorders>
            <w:shd w:val="clear" w:color="auto" w:fill="auto"/>
            <w:noWrap/>
            <w:vAlign w:val="center"/>
            <w:hideMark/>
          </w:tcPr>
          <w:p w:rsidR="00DC51F4" w:rsidRPr="00DC51F4" w:rsidRDefault="00DC51F4" w:rsidP="00DC51F4">
            <w:pPr>
              <w:spacing w:before="0" w:after="0" w:line="240" w:lineRule="auto"/>
              <w:rPr>
                <w:rFonts w:ascii="Calibri" w:eastAsia="Times New Roman" w:hAnsi="Calibri" w:cs="Calibri"/>
                <w:sz w:val="22"/>
                <w:szCs w:val="22"/>
                <w:lang w:eastAsia="en-GB"/>
              </w:rPr>
            </w:pPr>
            <w:r w:rsidRPr="00DC51F4">
              <w:rPr>
                <w:rFonts w:ascii="Calibri" w:eastAsia="Times New Roman" w:hAnsi="Calibri" w:cs="Calibri"/>
                <w:sz w:val="22"/>
                <w:szCs w:val="22"/>
                <w:lang w:eastAsia="en-GB"/>
              </w:rPr>
              <w:t>BS EN 998-1:2016</w:t>
            </w:r>
          </w:p>
        </w:tc>
      </w:tr>
      <w:tr w:rsidR="00DC51F4" w:rsidRPr="00DC51F4" w:rsidTr="00DC51F4">
        <w:trPr>
          <w:trHeight w:val="300"/>
          <w:jc w:val="center"/>
        </w:trPr>
        <w:tc>
          <w:tcPr>
            <w:tcW w:w="4720" w:type="dxa"/>
            <w:tcBorders>
              <w:top w:val="nil"/>
              <w:left w:val="single" w:sz="4" w:space="0" w:color="auto"/>
              <w:bottom w:val="single" w:sz="4" w:space="0" w:color="auto"/>
              <w:right w:val="single" w:sz="4" w:space="0" w:color="auto"/>
            </w:tcBorders>
            <w:shd w:val="clear" w:color="000000" w:fill="DDEBF7"/>
            <w:noWrap/>
            <w:vAlign w:val="center"/>
            <w:hideMark/>
          </w:tcPr>
          <w:p w:rsidR="00DC51F4" w:rsidRPr="00DC51F4" w:rsidRDefault="00DC51F4" w:rsidP="00DC51F4">
            <w:pPr>
              <w:spacing w:before="0" w:after="0" w:line="240" w:lineRule="auto"/>
              <w:rPr>
                <w:rFonts w:ascii="Calibri" w:eastAsia="Times New Roman" w:hAnsi="Calibri" w:cs="Calibri"/>
                <w:b/>
                <w:bCs/>
                <w:sz w:val="22"/>
                <w:szCs w:val="22"/>
                <w:lang w:eastAsia="en-GB"/>
              </w:rPr>
            </w:pPr>
            <w:r w:rsidRPr="00DC51F4">
              <w:rPr>
                <w:rFonts w:ascii="Calibri" w:eastAsia="Times New Roman" w:hAnsi="Calibri" w:cs="Calibri"/>
                <w:b/>
                <w:bCs/>
                <w:sz w:val="22"/>
                <w:szCs w:val="22"/>
                <w:lang w:eastAsia="en-GB"/>
              </w:rPr>
              <w:t>Texture</w:t>
            </w:r>
          </w:p>
        </w:tc>
        <w:tc>
          <w:tcPr>
            <w:tcW w:w="4060" w:type="dxa"/>
            <w:tcBorders>
              <w:top w:val="nil"/>
              <w:left w:val="nil"/>
              <w:bottom w:val="single" w:sz="4" w:space="0" w:color="auto"/>
              <w:right w:val="single" w:sz="4" w:space="0" w:color="auto"/>
            </w:tcBorders>
            <w:shd w:val="clear" w:color="auto" w:fill="auto"/>
            <w:noWrap/>
            <w:vAlign w:val="bottom"/>
            <w:hideMark/>
          </w:tcPr>
          <w:p w:rsidR="00DC51F4" w:rsidRPr="00DC51F4" w:rsidRDefault="00DC51F4" w:rsidP="00DC51F4">
            <w:pPr>
              <w:spacing w:before="0" w:after="0" w:line="240" w:lineRule="auto"/>
              <w:rPr>
                <w:rFonts w:ascii="Calibri" w:eastAsia="Times New Roman" w:hAnsi="Calibri" w:cs="Calibri"/>
                <w:sz w:val="22"/>
                <w:szCs w:val="22"/>
                <w:lang w:eastAsia="en-GB"/>
              </w:rPr>
            </w:pPr>
            <w:r w:rsidRPr="00DC51F4">
              <w:rPr>
                <w:rFonts w:ascii="Calibri" w:eastAsia="Times New Roman" w:hAnsi="Calibri" w:cs="Calibri"/>
                <w:sz w:val="22"/>
                <w:szCs w:val="22"/>
                <w:lang w:eastAsia="en-GB"/>
              </w:rPr>
              <w:t>Coarse</w:t>
            </w:r>
          </w:p>
        </w:tc>
      </w:tr>
      <w:tr w:rsidR="00DC51F4" w:rsidRPr="00DC51F4" w:rsidTr="00DC51F4">
        <w:trPr>
          <w:trHeight w:val="300"/>
          <w:jc w:val="center"/>
        </w:trPr>
        <w:tc>
          <w:tcPr>
            <w:tcW w:w="4720" w:type="dxa"/>
            <w:tcBorders>
              <w:top w:val="nil"/>
              <w:left w:val="single" w:sz="4" w:space="0" w:color="auto"/>
              <w:bottom w:val="single" w:sz="4" w:space="0" w:color="auto"/>
              <w:right w:val="single" w:sz="4" w:space="0" w:color="auto"/>
            </w:tcBorders>
            <w:shd w:val="clear" w:color="000000" w:fill="DDEBF7"/>
            <w:noWrap/>
            <w:vAlign w:val="bottom"/>
            <w:hideMark/>
          </w:tcPr>
          <w:p w:rsidR="00DC51F4" w:rsidRPr="00DC51F4" w:rsidRDefault="00DC51F4" w:rsidP="00DC51F4">
            <w:pPr>
              <w:spacing w:before="0" w:after="0" w:line="240" w:lineRule="auto"/>
              <w:rPr>
                <w:rFonts w:ascii="Calibri" w:eastAsia="Times New Roman" w:hAnsi="Calibri" w:cs="Calibri"/>
                <w:b/>
                <w:bCs/>
                <w:sz w:val="22"/>
                <w:szCs w:val="22"/>
                <w:lang w:eastAsia="en-GB"/>
              </w:rPr>
            </w:pPr>
            <w:r w:rsidRPr="00DC51F4">
              <w:rPr>
                <w:rFonts w:ascii="Calibri" w:eastAsia="Times New Roman" w:hAnsi="Calibri" w:cs="Calibri"/>
                <w:b/>
                <w:bCs/>
                <w:sz w:val="22"/>
                <w:szCs w:val="22"/>
                <w:lang w:eastAsia="en-GB"/>
              </w:rPr>
              <w:t>Binder</w:t>
            </w:r>
          </w:p>
        </w:tc>
        <w:tc>
          <w:tcPr>
            <w:tcW w:w="4060" w:type="dxa"/>
            <w:tcBorders>
              <w:top w:val="nil"/>
              <w:left w:val="nil"/>
              <w:bottom w:val="single" w:sz="4" w:space="0" w:color="auto"/>
              <w:right w:val="single" w:sz="4" w:space="0" w:color="auto"/>
            </w:tcBorders>
            <w:shd w:val="clear" w:color="auto" w:fill="auto"/>
            <w:noWrap/>
            <w:vAlign w:val="center"/>
            <w:hideMark/>
          </w:tcPr>
          <w:p w:rsidR="00DC51F4" w:rsidRPr="00DC51F4" w:rsidRDefault="00DC51F4" w:rsidP="00DC51F4">
            <w:pPr>
              <w:spacing w:before="0" w:after="0" w:line="240" w:lineRule="auto"/>
              <w:rPr>
                <w:rFonts w:ascii="Calibri" w:eastAsia="Times New Roman" w:hAnsi="Calibri" w:cs="Calibri"/>
                <w:sz w:val="22"/>
                <w:szCs w:val="22"/>
                <w:lang w:eastAsia="en-GB"/>
              </w:rPr>
            </w:pPr>
            <w:r w:rsidRPr="00DC51F4">
              <w:rPr>
                <w:rFonts w:ascii="Calibri" w:eastAsia="Times New Roman" w:hAnsi="Calibri" w:cs="Calibri"/>
                <w:sz w:val="22"/>
                <w:szCs w:val="22"/>
                <w:lang w:eastAsia="en-GB"/>
              </w:rPr>
              <w:t>Lime Putty</w:t>
            </w:r>
          </w:p>
        </w:tc>
      </w:tr>
      <w:tr w:rsidR="00DC51F4" w:rsidRPr="00DC51F4" w:rsidTr="00DC51F4">
        <w:trPr>
          <w:trHeight w:val="300"/>
          <w:jc w:val="center"/>
        </w:trPr>
        <w:tc>
          <w:tcPr>
            <w:tcW w:w="4720" w:type="dxa"/>
            <w:tcBorders>
              <w:top w:val="nil"/>
              <w:left w:val="single" w:sz="4" w:space="0" w:color="auto"/>
              <w:bottom w:val="single" w:sz="4" w:space="0" w:color="auto"/>
              <w:right w:val="single" w:sz="4" w:space="0" w:color="auto"/>
            </w:tcBorders>
            <w:shd w:val="clear" w:color="000000" w:fill="DDEBF7"/>
            <w:noWrap/>
            <w:vAlign w:val="bottom"/>
            <w:hideMark/>
          </w:tcPr>
          <w:p w:rsidR="00DC51F4" w:rsidRPr="00DC51F4" w:rsidRDefault="00DC51F4" w:rsidP="00DC51F4">
            <w:pPr>
              <w:spacing w:before="0" w:after="0" w:line="240" w:lineRule="auto"/>
              <w:rPr>
                <w:rFonts w:ascii="Calibri" w:eastAsia="Times New Roman" w:hAnsi="Calibri" w:cs="Calibri"/>
                <w:b/>
                <w:bCs/>
                <w:sz w:val="22"/>
                <w:szCs w:val="22"/>
                <w:lang w:eastAsia="en-GB"/>
              </w:rPr>
            </w:pPr>
            <w:r w:rsidRPr="00DC51F4">
              <w:rPr>
                <w:rFonts w:ascii="Calibri" w:eastAsia="Times New Roman" w:hAnsi="Calibri" w:cs="Calibri"/>
                <w:b/>
                <w:bCs/>
                <w:sz w:val="22"/>
                <w:szCs w:val="22"/>
                <w:lang w:eastAsia="en-GB"/>
              </w:rPr>
              <w:t> </w:t>
            </w:r>
          </w:p>
        </w:tc>
        <w:tc>
          <w:tcPr>
            <w:tcW w:w="4060" w:type="dxa"/>
            <w:tcBorders>
              <w:top w:val="nil"/>
              <w:left w:val="nil"/>
              <w:bottom w:val="single" w:sz="4" w:space="0" w:color="auto"/>
              <w:right w:val="single" w:sz="4" w:space="0" w:color="auto"/>
            </w:tcBorders>
            <w:shd w:val="clear" w:color="000000" w:fill="FFFFFF"/>
            <w:noWrap/>
            <w:vAlign w:val="center"/>
            <w:hideMark/>
          </w:tcPr>
          <w:p w:rsidR="00DC51F4" w:rsidRPr="00DC51F4" w:rsidRDefault="00DC51F4" w:rsidP="00DC51F4">
            <w:pPr>
              <w:spacing w:before="0" w:after="0" w:line="240" w:lineRule="auto"/>
              <w:rPr>
                <w:rFonts w:ascii="Calibri" w:eastAsia="Times New Roman" w:hAnsi="Calibri" w:cs="Calibri"/>
                <w:sz w:val="22"/>
                <w:szCs w:val="22"/>
                <w:lang w:eastAsia="en-GB"/>
              </w:rPr>
            </w:pPr>
            <w:r w:rsidRPr="00DC51F4">
              <w:rPr>
                <w:rFonts w:ascii="Calibri" w:eastAsia="Times New Roman" w:hAnsi="Calibri" w:cs="Calibri"/>
                <w:sz w:val="22"/>
                <w:szCs w:val="22"/>
                <w:lang w:eastAsia="en-GB"/>
              </w:rPr>
              <w:t>BS EN 459-1:2015</w:t>
            </w:r>
          </w:p>
        </w:tc>
      </w:tr>
      <w:tr w:rsidR="00DC51F4" w:rsidRPr="00DC51F4" w:rsidTr="00DC51F4">
        <w:trPr>
          <w:trHeight w:val="300"/>
          <w:jc w:val="center"/>
        </w:trPr>
        <w:tc>
          <w:tcPr>
            <w:tcW w:w="4720" w:type="dxa"/>
            <w:tcBorders>
              <w:top w:val="nil"/>
              <w:left w:val="single" w:sz="4" w:space="0" w:color="auto"/>
              <w:bottom w:val="single" w:sz="4" w:space="0" w:color="auto"/>
              <w:right w:val="single" w:sz="4" w:space="0" w:color="auto"/>
            </w:tcBorders>
            <w:shd w:val="clear" w:color="000000" w:fill="DDEBF7"/>
            <w:noWrap/>
            <w:vAlign w:val="center"/>
            <w:hideMark/>
          </w:tcPr>
          <w:p w:rsidR="00DC51F4" w:rsidRPr="00DC51F4" w:rsidRDefault="00DC51F4" w:rsidP="00DC51F4">
            <w:pPr>
              <w:spacing w:before="0" w:after="0" w:line="240" w:lineRule="auto"/>
              <w:rPr>
                <w:rFonts w:ascii="Calibri" w:eastAsia="Times New Roman" w:hAnsi="Calibri" w:cs="Calibri"/>
                <w:b/>
                <w:bCs/>
                <w:sz w:val="22"/>
                <w:szCs w:val="22"/>
                <w:lang w:eastAsia="en-GB"/>
              </w:rPr>
            </w:pPr>
            <w:r w:rsidRPr="00DC51F4">
              <w:rPr>
                <w:rFonts w:ascii="Calibri" w:eastAsia="Times New Roman" w:hAnsi="Calibri" w:cs="Calibri"/>
                <w:b/>
                <w:bCs/>
                <w:sz w:val="22"/>
                <w:szCs w:val="22"/>
                <w:lang w:eastAsia="en-GB"/>
              </w:rPr>
              <w:t>Aggregate</w:t>
            </w:r>
          </w:p>
        </w:tc>
        <w:tc>
          <w:tcPr>
            <w:tcW w:w="4060" w:type="dxa"/>
            <w:tcBorders>
              <w:top w:val="nil"/>
              <w:left w:val="nil"/>
              <w:bottom w:val="single" w:sz="4" w:space="0" w:color="auto"/>
              <w:right w:val="single" w:sz="4" w:space="0" w:color="auto"/>
            </w:tcBorders>
            <w:shd w:val="clear" w:color="auto" w:fill="auto"/>
            <w:noWrap/>
            <w:vAlign w:val="bottom"/>
            <w:hideMark/>
          </w:tcPr>
          <w:p w:rsidR="00DC51F4" w:rsidRPr="00DC51F4" w:rsidRDefault="00DC51F4" w:rsidP="00DC51F4">
            <w:pPr>
              <w:spacing w:before="0" w:after="0" w:line="240" w:lineRule="auto"/>
              <w:rPr>
                <w:rFonts w:ascii="Calibri" w:eastAsia="Times New Roman" w:hAnsi="Calibri" w:cs="Calibri"/>
                <w:sz w:val="22"/>
                <w:szCs w:val="22"/>
                <w:lang w:eastAsia="en-GB"/>
              </w:rPr>
            </w:pPr>
            <w:r w:rsidRPr="00DC51F4">
              <w:rPr>
                <w:rFonts w:ascii="Calibri" w:eastAsia="Times New Roman" w:hAnsi="Calibri" w:cs="Calibri"/>
                <w:sz w:val="22"/>
                <w:szCs w:val="22"/>
                <w:lang w:eastAsia="en-GB"/>
              </w:rPr>
              <w:t>BS EN 13139-1:2015</w:t>
            </w:r>
          </w:p>
        </w:tc>
      </w:tr>
      <w:tr w:rsidR="00DC51F4" w:rsidRPr="00DC51F4" w:rsidTr="00DC51F4">
        <w:trPr>
          <w:trHeight w:val="300"/>
          <w:jc w:val="center"/>
        </w:trPr>
        <w:tc>
          <w:tcPr>
            <w:tcW w:w="4720" w:type="dxa"/>
            <w:tcBorders>
              <w:top w:val="nil"/>
              <w:left w:val="single" w:sz="4" w:space="0" w:color="auto"/>
              <w:bottom w:val="single" w:sz="4" w:space="0" w:color="auto"/>
              <w:right w:val="single" w:sz="4" w:space="0" w:color="auto"/>
            </w:tcBorders>
            <w:shd w:val="clear" w:color="000000" w:fill="DDEBF7"/>
            <w:noWrap/>
            <w:vAlign w:val="center"/>
            <w:hideMark/>
          </w:tcPr>
          <w:p w:rsidR="00DC51F4" w:rsidRPr="00DC51F4" w:rsidRDefault="00DC51F4" w:rsidP="00DC51F4">
            <w:pPr>
              <w:spacing w:before="0" w:after="0" w:line="240" w:lineRule="auto"/>
              <w:rPr>
                <w:rFonts w:ascii="Calibri" w:eastAsia="Times New Roman" w:hAnsi="Calibri" w:cs="Calibri"/>
                <w:b/>
                <w:bCs/>
                <w:sz w:val="22"/>
                <w:szCs w:val="22"/>
                <w:lang w:eastAsia="en-GB"/>
              </w:rPr>
            </w:pPr>
            <w:r w:rsidRPr="00DC51F4">
              <w:rPr>
                <w:rFonts w:ascii="Calibri" w:eastAsia="Times New Roman" w:hAnsi="Calibri" w:cs="Calibri"/>
                <w:b/>
                <w:bCs/>
                <w:sz w:val="22"/>
                <w:szCs w:val="22"/>
                <w:lang w:eastAsia="en-GB"/>
              </w:rPr>
              <w:t>Grading</w:t>
            </w:r>
          </w:p>
        </w:tc>
        <w:tc>
          <w:tcPr>
            <w:tcW w:w="4060" w:type="dxa"/>
            <w:tcBorders>
              <w:top w:val="nil"/>
              <w:left w:val="nil"/>
              <w:bottom w:val="single" w:sz="4" w:space="0" w:color="auto"/>
              <w:right w:val="single" w:sz="4" w:space="0" w:color="auto"/>
            </w:tcBorders>
            <w:shd w:val="clear" w:color="auto" w:fill="auto"/>
            <w:noWrap/>
            <w:vAlign w:val="bottom"/>
            <w:hideMark/>
          </w:tcPr>
          <w:p w:rsidR="00DC51F4" w:rsidRPr="00DC51F4" w:rsidRDefault="00DC51F4" w:rsidP="00DC51F4">
            <w:pPr>
              <w:spacing w:before="0" w:after="0" w:line="240" w:lineRule="auto"/>
              <w:rPr>
                <w:rFonts w:ascii="Calibri" w:eastAsia="Times New Roman" w:hAnsi="Calibri" w:cs="Calibri"/>
                <w:sz w:val="22"/>
                <w:szCs w:val="22"/>
                <w:lang w:eastAsia="en-GB"/>
              </w:rPr>
            </w:pPr>
            <w:r w:rsidRPr="00DC51F4">
              <w:rPr>
                <w:rFonts w:ascii="Calibri" w:eastAsia="Times New Roman" w:hAnsi="Calibri" w:cs="Calibri"/>
                <w:sz w:val="22"/>
                <w:szCs w:val="22"/>
                <w:lang w:eastAsia="en-GB"/>
              </w:rPr>
              <w:t>Gc85/20</w:t>
            </w:r>
          </w:p>
        </w:tc>
      </w:tr>
      <w:tr w:rsidR="00DC51F4" w:rsidRPr="00DC51F4" w:rsidTr="00DC51F4">
        <w:trPr>
          <w:trHeight w:val="300"/>
          <w:jc w:val="center"/>
        </w:trPr>
        <w:tc>
          <w:tcPr>
            <w:tcW w:w="4720" w:type="dxa"/>
            <w:tcBorders>
              <w:top w:val="nil"/>
              <w:left w:val="single" w:sz="4" w:space="0" w:color="auto"/>
              <w:bottom w:val="single" w:sz="4" w:space="0" w:color="auto"/>
              <w:right w:val="single" w:sz="4" w:space="0" w:color="auto"/>
            </w:tcBorders>
            <w:shd w:val="clear" w:color="000000" w:fill="DDEBF7"/>
            <w:noWrap/>
            <w:vAlign w:val="center"/>
            <w:hideMark/>
          </w:tcPr>
          <w:p w:rsidR="00DC51F4" w:rsidRPr="00DC51F4" w:rsidRDefault="00DC51F4" w:rsidP="00DC51F4">
            <w:pPr>
              <w:spacing w:before="0" w:after="0" w:line="240" w:lineRule="auto"/>
              <w:rPr>
                <w:rFonts w:ascii="Calibri" w:eastAsia="Times New Roman" w:hAnsi="Calibri" w:cs="Calibri"/>
                <w:b/>
                <w:bCs/>
                <w:sz w:val="22"/>
                <w:szCs w:val="22"/>
                <w:lang w:eastAsia="en-GB"/>
              </w:rPr>
            </w:pPr>
            <w:r w:rsidRPr="00DC51F4">
              <w:rPr>
                <w:rFonts w:ascii="Calibri" w:eastAsia="Times New Roman" w:hAnsi="Calibri" w:cs="Calibri"/>
                <w:b/>
                <w:bCs/>
                <w:sz w:val="22"/>
                <w:szCs w:val="22"/>
                <w:lang w:eastAsia="en-GB"/>
              </w:rPr>
              <w:t>Density</w:t>
            </w:r>
          </w:p>
        </w:tc>
        <w:tc>
          <w:tcPr>
            <w:tcW w:w="4060" w:type="dxa"/>
            <w:tcBorders>
              <w:top w:val="nil"/>
              <w:left w:val="nil"/>
              <w:bottom w:val="single" w:sz="4" w:space="0" w:color="auto"/>
              <w:right w:val="single" w:sz="4" w:space="0" w:color="auto"/>
            </w:tcBorders>
            <w:shd w:val="clear" w:color="auto" w:fill="auto"/>
            <w:noWrap/>
            <w:vAlign w:val="center"/>
            <w:hideMark/>
          </w:tcPr>
          <w:p w:rsidR="00DC51F4" w:rsidRPr="00DC51F4" w:rsidRDefault="00DC51F4" w:rsidP="00DC51F4">
            <w:pPr>
              <w:spacing w:before="0" w:after="0" w:line="240" w:lineRule="auto"/>
              <w:rPr>
                <w:rFonts w:ascii="Calibri" w:eastAsia="Times New Roman" w:hAnsi="Calibri" w:cs="Calibri"/>
                <w:sz w:val="22"/>
                <w:szCs w:val="22"/>
                <w:lang w:eastAsia="en-GB"/>
              </w:rPr>
            </w:pPr>
            <w:r w:rsidRPr="00DC51F4">
              <w:rPr>
                <w:rFonts w:ascii="Calibri" w:eastAsia="Times New Roman" w:hAnsi="Calibri" w:cs="Calibri"/>
                <w:sz w:val="22"/>
                <w:szCs w:val="22"/>
                <w:lang w:eastAsia="en-GB"/>
              </w:rPr>
              <w:t>1,525 kg/m³ ± (at 91 days)</w:t>
            </w:r>
          </w:p>
        </w:tc>
      </w:tr>
      <w:tr w:rsidR="00DC51F4" w:rsidRPr="00DC51F4" w:rsidTr="00DC51F4">
        <w:trPr>
          <w:trHeight w:val="300"/>
          <w:jc w:val="center"/>
        </w:trPr>
        <w:tc>
          <w:tcPr>
            <w:tcW w:w="4720" w:type="dxa"/>
            <w:tcBorders>
              <w:top w:val="nil"/>
              <w:left w:val="single" w:sz="4" w:space="0" w:color="auto"/>
              <w:bottom w:val="single" w:sz="4" w:space="0" w:color="auto"/>
              <w:right w:val="single" w:sz="4" w:space="0" w:color="auto"/>
            </w:tcBorders>
            <w:shd w:val="clear" w:color="000000" w:fill="DDEBF7"/>
            <w:noWrap/>
            <w:vAlign w:val="center"/>
            <w:hideMark/>
          </w:tcPr>
          <w:p w:rsidR="00DC51F4" w:rsidRPr="00DC51F4" w:rsidRDefault="00DC51F4" w:rsidP="00DC51F4">
            <w:pPr>
              <w:spacing w:before="0" w:after="0" w:line="240" w:lineRule="auto"/>
              <w:rPr>
                <w:rFonts w:ascii="Calibri" w:eastAsia="Times New Roman" w:hAnsi="Calibri" w:cs="Calibri"/>
                <w:b/>
                <w:bCs/>
                <w:sz w:val="22"/>
                <w:szCs w:val="22"/>
                <w:lang w:eastAsia="en-GB"/>
              </w:rPr>
            </w:pPr>
            <w:r w:rsidRPr="00DC51F4">
              <w:rPr>
                <w:rFonts w:ascii="Calibri" w:eastAsia="Times New Roman" w:hAnsi="Calibri" w:cs="Calibri"/>
                <w:b/>
                <w:bCs/>
                <w:sz w:val="22"/>
                <w:szCs w:val="22"/>
                <w:lang w:eastAsia="en-GB"/>
              </w:rPr>
              <w:t>Vapour permeability</w:t>
            </w:r>
          </w:p>
        </w:tc>
        <w:tc>
          <w:tcPr>
            <w:tcW w:w="4060" w:type="dxa"/>
            <w:tcBorders>
              <w:top w:val="nil"/>
              <w:left w:val="nil"/>
              <w:bottom w:val="single" w:sz="4" w:space="0" w:color="auto"/>
              <w:right w:val="single" w:sz="4" w:space="0" w:color="auto"/>
            </w:tcBorders>
            <w:shd w:val="clear" w:color="auto" w:fill="auto"/>
            <w:noWrap/>
            <w:vAlign w:val="bottom"/>
            <w:hideMark/>
          </w:tcPr>
          <w:p w:rsidR="00DC51F4" w:rsidRPr="00DC51F4" w:rsidRDefault="00DC51F4" w:rsidP="00DC51F4">
            <w:pPr>
              <w:spacing w:before="0" w:after="0" w:line="240" w:lineRule="auto"/>
              <w:rPr>
                <w:rFonts w:ascii="Calibri" w:eastAsia="Times New Roman" w:hAnsi="Calibri" w:cs="Calibri"/>
                <w:sz w:val="22"/>
                <w:szCs w:val="22"/>
                <w:lang w:eastAsia="en-GB"/>
              </w:rPr>
            </w:pPr>
            <w:r w:rsidRPr="00DC51F4">
              <w:rPr>
                <w:rFonts w:ascii="Calibri" w:eastAsia="Times New Roman" w:hAnsi="Calibri" w:cs="Calibri"/>
                <w:sz w:val="22"/>
                <w:szCs w:val="22"/>
                <w:lang w:eastAsia="en-GB"/>
              </w:rPr>
              <w:t>0.92 grams / 100mm² / 24hrs ±</w:t>
            </w:r>
          </w:p>
        </w:tc>
      </w:tr>
      <w:tr w:rsidR="00DC51F4" w:rsidRPr="00DC51F4" w:rsidTr="00DC51F4">
        <w:trPr>
          <w:trHeight w:val="300"/>
          <w:jc w:val="center"/>
        </w:trPr>
        <w:tc>
          <w:tcPr>
            <w:tcW w:w="4720" w:type="dxa"/>
            <w:tcBorders>
              <w:top w:val="nil"/>
              <w:left w:val="single" w:sz="4" w:space="0" w:color="auto"/>
              <w:bottom w:val="single" w:sz="4" w:space="0" w:color="auto"/>
              <w:right w:val="single" w:sz="4" w:space="0" w:color="auto"/>
            </w:tcBorders>
            <w:shd w:val="clear" w:color="000000" w:fill="DDEBF7"/>
            <w:noWrap/>
            <w:vAlign w:val="center"/>
            <w:hideMark/>
          </w:tcPr>
          <w:p w:rsidR="00DC51F4" w:rsidRPr="00DC51F4" w:rsidRDefault="00DC51F4" w:rsidP="00DC51F4">
            <w:pPr>
              <w:spacing w:before="0" w:after="0" w:line="240" w:lineRule="auto"/>
              <w:rPr>
                <w:rFonts w:ascii="Calibri" w:eastAsia="Times New Roman" w:hAnsi="Calibri" w:cs="Calibri"/>
                <w:b/>
                <w:bCs/>
                <w:sz w:val="22"/>
                <w:szCs w:val="22"/>
                <w:lang w:eastAsia="en-GB"/>
              </w:rPr>
            </w:pPr>
            <w:r w:rsidRPr="00DC51F4">
              <w:rPr>
                <w:rFonts w:ascii="Calibri" w:eastAsia="Times New Roman" w:hAnsi="Calibri" w:cs="Calibri"/>
                <w:b/>
                <w:bCs/>
                <w:sz w:val="22"/>
                <w:szCs w:val="22"/>
                <w:lang w:eastAsia="en-GB"/>
              </w:rPr>
              <w:t>Compressive strength</w:t>
            </w:r>
          </w:p>
        </w:tc>
        <w:tc>
          <w:tcPr>
            <w:tcW w:w="4060" w:type="dxa"/>
            <w:tcBorders>
              <w:top w:val="nil"/>
              <w:left w:val="nil"/>
              <w:bottom w:val="single" w:sz="4" w:space="0" w:color="auto"/>
              <w:right w:val="single" w:sz="4" w:space="0" w:color="auto"/>
            </w:tcBorders>
            <w:shd w:val="clear" w:color="auto" w:fill="auto"/>
            <w:noWrap/>
            <w:vAlign w:val="center"/>
            <w:hideMark/>
          </w:tcPr>
          <w:p w:rsidR="00DC51F4" w:rsidRPr="00DC51F4" w:rsidRDefault="00DC51F4" w:rsidP="00DC51F4">
            <w:pPr>
              <w:spacing w:before="0" w:after="0" w:line="240" w:lineRule="auto"/>
              <w:rPr>
                <w:rFonts w:ascii="Calibri" w:eastAsia="Times New Roman" w:hAnsi="Calibri" w:cs="Calibri"/>
                <w:sz w:val="22"/>
                <w:szCs w:val="22"/>
                <w:lang w:eastAsia="en-GB"/>
              </w:rPr>
            </w:pPr>
            <w:r w:rsidRPr="00DC51F4">
              <w:rPr>
                <w:rFonts w:ascii="Calibri" w:eastAsia="Times New Roman" w:hAnsi="Calibri" w:cs="Calibri"/>
                <w:sz w:val="22"/>
                <w:szCs w:val="22"/>
                <w:lang w:eastAsia="en-GB"/>
              </w:rPr>
              <w:t>0.75 N/mm² ± (at 91 days)</w:t>
            </w:r>
          </w:p>
        </w:tc>
      </w:tr>
      <w:tr w:rsidR="00DC51F4" w:rsidRPr="00DC51F4" w:rsidTr="00DC51F4">
        <w:trPr>
          <w:trHeight w:val="300"/>
          <w:jc w:val="center"/>
        </w:trPr>
        <w:tc>
          <w:tcPr>
            <w:tcW w:w="4720" w:type="dxa"/>
            <w:tcBorders>
              <w:top w:val="nil"/>
              <w:left w:val="single" w:sz="4" w:space="0" w:color="auto"/>
              <w:bottom w:val="single" w:sz="4" w:space="0" w:color="auto"/>
              <w:right w:val="single" w:sz="4" w:space="0" w:color="auto"/>
            </w:tcBorders>
            <w:shd w:val="clear" w:color="000000" w:fill="DDEBF7"/>
            <w:noWrap/>
            <w:vAlign w:val="center"/>
            <w:hideMark/>
          </w:tcPr>
          <w:p w:rsidR="00DC51F4" w:rsidRPr="00DC51F4" w:rsidRDefault="00DC51F4" w:rsidP="00DC51F4">
            <w:pPr>
              <w:spacing w:before="0" w:after="0" w:line="240" w:lineRule="auto"/>
              <w:rPr>
                <w:rFonts w:ascii="Calibri" w:eastAsia="Times New Roman" w:hAnsi="Calibri" w:cs="Calibri"/>
                <w:b/>
                <w:bCs/>
                <w:sz w:val="22"/>
                <w:szCs w:val="22"/>
                <w:lang w:eastAsia="en-GB"/>
              </w:rPr>
            </w:pPr>
            <w:r w:rsidRPr="00DC51F4">
              <w:rPr>
                <w:rFonts w:ascii="Calibri" w:eastAsia="Times New Roman" w:hAnsi="Calibri" w:cs="Calibri"/>
                <w:b/>
                <w:bCs/>
                <w:sz w:val="22"/>
                <w:szCs w:val="22"/>
                <w:lang w:eastAsia="en-GB"/>
              </w:rPr>
              <w:t>Flexural strength</w:t>
            </w:r>
          </w:p>
        </w:tc>
        <w:tc>
          <w:tcPr>
            <w:tcW w:w="4060" w:type="dxa"/>
            <w:tcBorders>
              <w:top w:val="nil"/>
              <w:left w:val="nil"/>
              <w:bottom w:val="single" w:sz="4" w:space="0" w:color="auto"/>
              <w:right w:val="single" w:sz="4" w:space="0" w:color="auto"/>
            </w:tcBorders>
            <w:shd w:val="clear" w:color="auto" w:fill="auto"/>
            <w:noWrap/>
            <w:vAlign w:val="bottom"/>
            <w:hideMark/>
          </w:tcPr>
          <w:p w:rsidR="00DC51F4" w:rsidRPr="00DC51F4" w:rsidRDefault="00DC51F4" w:rsidP="00DC51F4">
            <w:pPr>
              <w:spacing w:before="0" w:after="0" w:line="240" w:lineRule="auto"/>
              <w:rPr>
                <w:rFonts w:ascii="Calibri" w:eastAsia="Times New Roman" w:hAnsi="Calibri" w:cs="Calibri"/>
                <w:sz w:val="22"/>
                <w:szCs w:val="22"/>
                <w:lang w:eastAsia="en-GB"/>
              </w:rPr>
            </w:pPr>
            <w:r w:rsidRPr="00DC51F4">
              <w:rPr>
                <w:rFonts w:ascii="Calibri" w:eastAsia="Times New Roman" w:hAnsi="Calibri" w:cs="Calibri"/>
                <w:sz w:val="22"/>
                <w:szCs w:val="22"/>
                <w:lang w:eastAsia="en-GB"/>
              </w:rPr>
              <w:t>0.74 N/mm² ± (at 91 days)</w:t>
            </w:r>
          </w:p>
        </w:tc>
      </w:tr>
      <w:tr w:rsidR="00DC51F4" w:rsidRPr="00DC51F4" w:rsidTr="00DC51F4">
        <w:trPr>
          <w:trHeight w:val="300"/>
          <w:jc w:val="center"/>
        </w:trPr>
        <w:tc>
          <w:tcPr>
            <w:tcW w:w="4720" w:type="dxa"/>
            <w:tcBorders>
              <w:top w:val="nil"/>
              <w:left w:val="single" w:sz="4" w:space="0" w:color="auto"/>
              <w:bottom w:val="single" w:sz="4" w:space="0" w:color="auto"/>
              <w:right w:val="single" w:sz="4" w:space="0" w:color="auto"/>
            </w:tcBorders>
            <w:shd w:val="clear" w:color="000000" w:fill="DDEBF7"/>
            <w:noWrap/>
            <w:vAlign w:val="center"/>
            <w:hideMark/>
          </w:tcPr>
          <w:p w:rsidR="00DC51F4" w:rsidRPr="00DC51F4" w:rsidRDefault="00DC51F4" w:rsidP="00DC51F4">
            <w:pPr>
              <w:spacing w:before="0" w:after="0" w:line="240" w:lineRule="auto"/>
              <w:rPr>
                <w:rFonts w:ascii="Calibri" w:eastAsia="Times New Roman" w:hAnsi="Calibri" w:cs="Calibri"/>
                <w:b/>
                <w:bCs/>
                <w:sz w:val="22"/>
                <w:szCs w:val="22"/>
                <w:lang w:eastAsia="en-GB"/>
              </w:rPr>
            </w:pPr>
            <w:r w:rsidRPr="00DC51F4">
              <w:rPr>
                <w:rFonts w:ascii="Calibri" w:eastAsia="Times New Roman" w:hAnsi="Calibri" w:cs="Calibri"/>
                <w:b/>
                <w:bCs/>
                <w:sz w:val="22"/>
                <w:szCs w:val="22"/>
                <w:lang w:eastAsia="en-GB"/>
              </w:rPr>
              <w:t>Resistance to freeze thaw</w:t>
            </w:r>
          </w:p>
        </w:tc>
        <w:tc>
          <w:tcPr>
            <w:tcW w:w="4060" w:type="dxa"/>
            <w:tcBorders>
              <w:top w:val="nil"/>
              <w:left w:val="nil"/>
              <w:bottom w:val="single" w:sz="4" w:space="0" w:color="auto"/>
              <w:right w:val="single" w:sz="4" w:space="0" w:color="auto"/>
            </w:tcBorders>
            <w:shd w:val="clear" w:color="auto" w:fill="auto"/>
            <w:noWrap/>
            <w:vAlign w:val="center"/>
            <w:hideMark/>
          </w:tcPr>
          <w:p w:rsidR="00DC51F4" w:rsidRPr="00DC51F4" w:rsidRDefault="00DC51F4" w:rsidP="00DC51F4">
            <w:pPr>
              <w:spacing w:before="0" w:after="0" w:line="240" w:lineRule="auto"/>
              <w:rPr>
                <w:rFonts w:ascii="Calibri" w:eastAsia="Times New Roman" w:hAnsi="Calibri" w:cs="Calibri"/>
                <w:sz w:val="22"/>
                <w:szCs w:val="22"/>
                <w:lang w:eastAsia="en-GB"/>
              </w:rPr>
            </w:pPr>
            <w:r w:rsidRPr="00DC51F4">
              <w:rPr>
                <w:rFonts w:ascii="Calibri" w:eastAsia="Times New Roman" w:hAnsi="Calibri" w:cs="Calibri"/>
                <w:sz w:val="22"/>
                <w:szCs w:val="22"/>
                <w:lang w:eastAsia="en-GB"/>
              </w:rPr>
              <w:t>Low</w:t>
            </w:r>
          </w:p>
        </w:tc>
      </w:tr>
      <w:tr w:rsidR="00DC51F4" w:rsidRPr="00DC51F4" w:rsidTr="00DC51F4">
        <w:trPr>
          <w:trHeight w:val="300"/>
          <w:jc w:val="center"/>
        </w:trPr>
        <w:tc>
          <w:tcPr>
            <w:tcW w:w="4720" w:type="dxa"/>
            <w:tcBorders>
              <w:top w:val="nil"/>
              <w:left w:val="single" w:sz="4" w:space="0" w:color="auto"/>
              <w:bottom w:val="single" w:sz="4" w:space="0" w:color="auto"/>
              <w:right w:val="single" w:sz="4" w:space="0" w:color="auto"/>
            </w:tcBorders>
            <w:shd w:val="clear" w:color="000000" w:fill="DDEBF7"/>
            <w:noWrap/>
            <w:vAlign w:val="bottom"/>
            <w:hideMark/>
          </w:tcPr>
          <w:p w:rsidR="00DC51F4" w:rsidRPr="00DC51F4" w:rsidRDefault="00DC51F4" w:rsidP="00DC51F4">
            <w:pPr>
              <w:spacing w:before="0" w:after="0" w:line="240" w:lineRule="auto"/>
              <w:rPr>
                <w:rFonts w:ascii="Calibri" w:eastAsia="Times New Roman" w:hAnsi="Calibri" w:cs="Calibri"/>
                <w:b/>
                <w:bCs/>
                <w:sz w:val="22"/>
                <w:szCs w:val="22"/>
                <w:lang w:eastAsia="en-GB"/>
              </w:rPr>
            </w:pPr>
            <w:r w:rsidRPr="00DC51F4">
              <w:rPr>
                <w:rFonts w:ascii="Calibri" w:eastAsia="Times New Roman" w:hAnsi="Calibri" w:cs="Calibri"/>
                <w:b/>
                <w:bCs/>
                <w:sz w:val="22"/>
                <w:szCs w:val="22"/>
                <w:lang w:eastAsia="en-GB"/>
              </w:rPr>
              <w:t> </w:t>
            </w:r>
          </w:p>
        </w:tc>
        <w:tc>
          <w:tcPr>
            <w:tcW w:w="4060" w:type="dxa"/>
            <w:tcBorders>
              <w:top w:val="nil"/>
              <w:left w:val="nil"/>
              <w:bottom w:val="single" w:sz="4" w:space="0" w:color="auto"/>
              <w:right w:val="single" w:sz="4" w:space="0" w:color="auto"/>
            </w:tcBorders>
            <w:shd w:val="clear" w:color="000000" w:fill="FFFFFF"/>
            <w:noWrap/>
            <w:vAlign w:val="center"/>
            <w:hideMark/>
          </w:tcPr>
          <w:p w:rsidR="00DC51F4" w:rsidRPr="00DC51F4" w:rsidRDefault="00DC51F4" w:rsidP="00DC51F4">
            <w:pPr>
              <w:spacing w:before="0" w:after="0" w:line="240" w:lineRule="auto"/>
              <w:rPr>
                <w:rFonts w:ascii="Calibri" w:eastAsia="Times New Roman" w:hAnsi="Calibri" w:cs="Calibri"/>
                <w:sz w:val="22"/>
                <w:szCs w:val="22"/>
                <w:lang w:eastAsia="en-GB"/>
              </w:rPr>
            </w:pPr>
            <w:r w:rsidRPr="00DC51F4">
              <w:rPr>
                <w:rFonts w:ascii="Calibri" w:eastAsia="Times New Roman" w:hAnsi="Calibri" w:cs="Calibri"/>
                <w:sz w:val="22"/>
                <w:szCs w:val="22"/>
                <w:lang w:eastAsia="en-GB"/>
              </w:rPr>
              <w:t>(10 cycles)</w:t>
            </w:r>
          </w:p>
        </w:tc>
      </w:tr>
      <w:tr w:rsidR="00DC51F4" w:rsidRPr="00DC51F4" w:rsidTr="00DC51F4">
        <w:trPr>
          <w:trHeight w:val="300"/>
          <w:jc w:val="center"/>
        </w:trPr>
        <w:tc>
          <w:tcPr>
            <w:tcW w:w="4720" w:type="dxa"/>
            <w:tcBorders>
              <w:top w:val="nil"/>
              <w:left w:val="single" w:sz="4" w:space="0" w:color="auto"/>
              <w:bottom w:val="single" w:sz="4" w:space="0" w:color="auto"/>
              <w:right w:val="single" w:sz="4" w:space="0" w:color="auto"/>
            </w:tcBorders>
            <w:shd w:val="clear" w:color="000000" w:fill="DDEBF7"/>
            <w:noWrap/>
            <w:vAlign w:val="bottom"/>
            <w:hideMark/>
          </w:tcPr>
          <w:p w:rsidR="00DC51F4" w:rsidRPr="00DC51F4" w:rsidRDefault="00DC51F4" w:rsidP="00DC51F4">
            <w:pPr>
              <w:spacing w:before="0" w:after="0" w:line="240" w:lineRule="auto"/>
              <w:rPr>
                <w:rFonts w:ascii="Calibri" w:eastAsia="Times New Roman" w:hAnsi="Calibri" w:cs="Calibri"/>
                <w:b/>
                <w:bCs/>
                <w:sz w:val="22"/>
                <w:szCs w:val="22"/>
                <w:lang w:eastAsia="en-GB"/>
              </w:rPr>
            </w:pPr>
            <w:r w:rsidRPr="00DC51F4">
              <w:rPr>
                <w:rFonts w:ascii="Calibri" w:eastAsia="Times New Roman" w:hAnsi="Calibri" w:cs="Calibri"/>
                <w:b/>
                <w:bCs/>
                <w:sz w:val="22"/>
                <w:szCs w:val="22"/>
                <w:lang w:eastAsia="en-GB"/>
              </w:rPr>
              <w:t>Resistance to sulphate exposure</w:t>
            </w:r>
          </w:p>
        </w:tc>
        <w:tc>
          <w:tcPr>
            <w:tcW w:w="4060" w:type="dxa"/>
            <w:tcBorders>
              <w:top w:val="nil"/>
              <w:left w:val="nil"/>
              <w:bottom w:val="single" w:sz="4" w:space="0" w:color="auto"/>
              <w:right w:val="single" w:sz="4" w:space="0" w:color="auto"/>
            </w:tcBorders>
            <w:shd w:val="clear" w:color="auto" w:fill="auto"/>
            <w:noWrap/>
            <w:vAlign w:val="center"/>
            <w:hideMark/>
          </w:tcPr>
          <w:p w:rsidR="00DC51F4" w:rsidRPr="00DC51F4" w:rsidRDefault="00DC51F4" w:rsidP="00DC51F4">
            <w:pPr>
              <w:spacing w:before="0" w:after="0" w:line="240" w:lineRule="auto"/>
              <w:rPr>
                <w:rFonts w:ascii="Calibri" w:eastAsia="Times New Roman" w:hAnsi="Calibri" w:cs="Calibri"/>
                <w:sz w:val="22"/>
                <w:szCs w:val="22"/>
                <w:lang w:eastAsia="en-GB"/>
              </w:rPr>
            </w:pPr>
            <w:r w:rsidRPr="00DC51F4">
              <w:rPr>
                <w:rFonts w:ascii="Calibri" w:eastAsia="Times New Roman" w:hAnsi="Calibri" w:cs="Calibri"/>
                <w:sz w:val="22"/>
                <w:szCs w:val="22"/>
                <w:lang w:eastAsia="en-GB"/>
              </w:rPr>
              <w:t>High</w:t>
            </w:r>
          </w:p>
        </w:tc>
      </w:tr>
      <w:tr w:rsidR="00DC51F4" w:rsidRPr="00DC51F4" w:rsidTr="00DC51F4">
        <w:trPr>
          <w:trHeight w:val="300"/>
          <w:jc w:val="center"/>
        </w:trPr>
        <w:tc>
          <w:tcPr>
            <w:tcW w:w="4720" w:type="dxa"/>
            <w:tcBorders>
              <w:top w:val="nil"/>
              <w:left w:val="single" w:sz="4" w:space="0" w:color="auto"/>
              <w:bottom w:val="single" w:sz="4" w:space="0" w:color="auto"/>
              <w:right w:val="single" w:sz="4" w:space="0" w:color="auto"/>
            </w:tcBorders>
            <w:shd w:val="clear" w:color="000000" w:fill="DDEBF7"/>
            <w:noWrap/>
            <w:vAlign w:val="bottom"/>
            <w:hideMark/>
          </w:tcPr>
          <w:p w:rsidR="00DC51F4" w:rsidRPr="00DC51F4" w:rsidRDefault="00DC51F4" w:rsidP="00DC51F4">
            <w:pPr>
              <w:spacing w:before="0" w:after="0" w:line="240" w:lineRule="auto"/>
              <w:rPr>
                <w:rFonts w:ascii="Calibri" w:eastAsia="Times New Roman" w:hAnsi="Calibri" w:cs="Calibri"/>
                <w:b/>
                <w:bCs/>
                <w:sz w:val="22"/>
                <w:szCs w:val="22"/>
                <w:lang w:eastAsia="en-GB"/>
              </w:rPr>
            </w:pPr>
            <w:r w:rsidRPr="00DC51F4">
              <w:rPr>
                <w:rFonts w:ascii="Calibri" w:eastAsia="Times New Roman" w:hAnsi="Calibri" w:cs="Calibri"/>
                <w:b/>
                <w:bCs/>
                <w:sz w:val="22"/>
                <w:szCs w:val="22"/>
                <w:lang w:eastAsia="en-GB"/>
              </w:rPr>
              <w:t> </w:t>
            </w:r>
          </w:p>
        </w:tc>
        <w:tc>
          <w:tcPr>
            <w:tcW w:w="4060" w:type="dxa"/>
            <w:tcBorders>
              <w:top w:val="nil"/>
              <w:left w:val="nil"/>
              <w:bottom w:val="single" w:sz="4" w:space="0" w:color="auto"/>
              <w:right w:val="single" w:sz="4" w:space="0" w:color="auto"/>
            </w:tcBorders>
            <w:shd w:val="clear" w:color="000000" w:fill="FFFFFF"/>
            <w:noWrap/>
            <w:vAlign w:val="center"/>
            <w:hideMark/>
          </w:tcPr>
          <w:p w:rsidR="00DC51F4" w:rsidRPr="00DC51F4" w:rsidRDefault="00DC51F4" w:rsidP="00DC51F4">
            <w:pPr>
              <w:spacing w:before="0" w:after="0" w:line="240" w:lineRule="auto"/>
              <w:rPr>
                <w:rFonts w:ascii="Calibri" w:eastAsia="Times New Roman" w:hAnsi="Calibri" w:cs="Calibri"/>
                <w:sz w:val="22"/>
                <w:szCs w:val="22"/>
                <w:lang w:eastAsia="en-GB"/>
              </w:rPr>
            </w:pPr>
            <w:r w:rsidRPr="00DC51F4">
              <w:rPr>
                <w:rFonts w:ascii="Calibri" w:eastAsia="Times New Roman" w:hAnsi="Calibri" w:cs="Calibri"/>
                <w:sz w:val="22"/>
                <w:szCs w:val="22"/>
                <w:lang w:eastAsia="en-GB"/>
              </w:rPr>
              <w:t>(26-50 cycles)</w:t>
            </w:r>
          </w:p>
        </w:tc>
      </w:tr>
      <w:tr w:rsidR="00DC51F4" w:rsidRPr="00DC51F4" w:rsidTr="00DC51F4">
        <w:trPr>
          <w:trHeight w:val="300"/>
          <w:jc w:val="center"/>
        </w:trPr>
        <w:tc>
          <w:tcPr>
            <w:tcW w:w="4720" w:type="dxa"/>
            <w:tcBorders>
              <w:top w:val="nil"/>
              <w:left w:val="single" w:sz="4" w:space="0" w:color="auto"/>
              <w:bottom w:val="single" w:sz="4" w:space="0" w:color="auto"/>
              <w:right w:val="single" w:sz="4" w:space="0" w:color="auto"/>
            </w:tcBorders>
            <w:shd w:val="clear" w:color="000000" w:fill="DDEBF7"/>
            <w:noWrap/>
            <w:vAlign w:val="bottom"/>
            <w:hideMark/>
          </w:tcPr>
          <w:p w:rsidR="00DC51F4" w:rsidRPr="00DC51F4" w:rsidRDefault="00DC51F4" w:rsidP="00DC51F4">
            <w:pPr>
              <w:spacing w:before="0" w:after="0" w:line="240" w:lineRule="auto"/>
              <w:rPr>
                <w:rFonts w:ascii="Calibri" w:eastAsia="Times New Roman" w:hAnsi="Calibri" w:cs="Calibri"/>
                <w:b/>
                <w:bCs/>
                <w:sz w:val="22"/>
                <w:szCs w:val="22"/>
                <w:lang w:eastAsia="en-GB"/>
              </w:rPr>
            </w:pPr>
            <w:r w:rsidRPr="00DC51F4">
              <w:rPr>
                <w:rFonts w:ascii="Calibri" w:eastAsia="Times New Roman" w:hAnsi="Calibri" w:cs="Calibri"/>
                <w:b/>
                <w:bCs/>
                <w:sz w:val="22"/>
                <w:szCs w:val="22"/>
                <w:lang w:eastAsia="en-GB"/>
              </w:rPr>
              <w:t>Resistance to freeze thaw in sulphate conditions</w:t>
            </w:r>
          </w:p>
        </w:tc>
        <w:tc>
          <w:tcPr>
            <w:tcW w:w="4060" w:type="dxa"/>
            <w:tcBorders>
              <w:top w:val="nil"/>
              <w:left w:val="nil"/>
              <w:bottom w:val="single" w:sz="4" w:space="0" w:color="auto"/>
              <w:right w:val="single" w:sz="4" w:space="0" w:color="auto"/>
            </w:tcBorders>
            <w:shd w:val="clear" w:color="auto" w:fill="auto"/>
            <w:noWrap/>
            <w:vAlign w:val="center"/>
            <w:hideMark/>
          </w:tcPr>
          <w:p w:rsidR="00DC51F4" w:rsidRPr="00DC51F4" w:rsidRDefault="00DC51F4" w:rsidP="00DC51F4">
            <w:pPr>
              <w:spacing w:before="0" w:after="0" w:line="240" w:lineRule="auto"/>
              <w:rPr>
                <w:rFonts w:ascii="Calibri" w:eastAsia="Times New Roman" w:hAnsi="Calibri" w:cs="Calibri"/>
                <w:sz w:val="22"/>
                <w:szCs w:val="22"/>
                <w:lang w:eastAsia="en-GB"/>
              </w:rPr>
            </w:pPr>
            <w:r w:rsidRPr="00DC51F4">
              <w:rPr>
                <w:rFonts w:ascii="Calibri" w:eastAsia="Times New Roman" w:hAnsi="Calibri" w:cs="Calibri"/>
                <w:sz w:val="22"/>
                <w:szCs w:val="22"/>
                <w:lang w:eastAsia="en-GB"/>
              </w:rPr>
              <w:t>Low</w:t>
            </w:r>
          </w:p>
        </w:tc>
      </w:tr>
      <w:tr w:rsidR="00DC51F4" w:rsidRPr="00DC51F4" w:rsidTr="00DC51F4">
        <w:trPr>
          <w:trHeight w:val="300"/>
          <w:jc w:val="center"/>
        </w:trPr>
        <w:tc>
          <w:tcPr>
            <w:tcW w:w="4720" w:type="dxa"/>
            <w:tcBorders>
              <w:top w:val="nil"/>
              <w:left w:val="single" w:sz="4" w:space="0" w:color="auto"/>
              <w:bottom w:val="single" w:sz="4" w:space="0" w:color="auto"/>
              <w:right w:val="single" w:sz="4" w:space="0" w:color="auto"/>
            </w:tcBorders>
            <w:shd w:val="clear" w:color="000000" w:fill="DDEBF7"/>
            <w:noWrap/>
            <w:vAlign w:val="bottom"/>
            <w:hideMark/>
          </w:tcPr>
          <w:p w:rsidR="00DC51F4" w:rsidRPr="00DC51F4" w:rsidRDefault="00DC51F4" w:rsidP="00DC51F4">
            <w:pPr>
              <w:spacing w:before="0" w:after="0" w:line="240" w:lineRule="auto"/>
              <w:rPr>
                <w:rFonts w:ascii="Calibri" w:eastAsia="Times New Roman" w:hAnsi="Calibri" w:cs="Calibri"/>
                <w:b/>
                <w:bCs/>
                <w:sz w:val="22"/>
                <w:szCs w:val="22"/>
                <w:lang w:eastAsia="en-GB"/>
              </w:rPr>
            </w:pPr>
            <w:r w:rsidRPr="00DC51F4">
              <w:rPr>
                <w:rFonts w:ascii="Calibri" w:eastAsia="Times New Roman" w:hAnsi="Calibri" w:cs="Calibri"/>
                <w:b/>
                <w:bCs/>
                <w:sz w:val="22"/>
                <w:szCs w:val="22"/>
                <w:lang w:eastAsia="en-GB"/>
              </w:rPr>
              <w:t> </w:t>
            </w:r>
          </w:p>
        </w:tc>
        <w:tc>
          <w:tcPr>
            <w:tcW w:w="4060" w:type="dxa"/>
            <w:tcBorders>
              <w:top w:val="nil"/>
              <w:left w:val="nil"/>
              <w:bottom w:val="single" w:sz="4" w:space="0" w:color="auto"/>
              <w:right w:val="single" w:sz="4" w:space="0" w:color="auto"/>
            </w:tcBorders>
            <w:shd w:val="clear" w:color="000000" w:fill="FFFFFF"/>
            <w:noWrap/>
            <w:vAlign w:val="center"/>
            <w:hideMark/>
          </w:tcPr>
          <w:p w:rsidR="00DC51F4" w:rsidRPr="00DC51F4" w:rsidRDefault="00DC51F4" w:rsidP="00DC51F4">
            <w:pPr>
              <w:spacing w:before="0" w:after="0" w:line="240" w:lineRule="auto"/>
              <w:rPr>
                <w:rFonts w:ascii="Calibri" w:eastAsia="Times New Roman" w:hAnsi="Calibri" w:cs="Calibri"/>
                <w:sz w:val="22"/>
                <w:szCs w:val="22"/>
                <w:lang w:eastAsia="en-GB"/>
              </w:rPr>
            </w:pPr>
            <w:r w:rsidRPr="00DC51F4">
              <w:rPr>
                <w:rFonts w:ascii="Calibri" w:eastAsia="Times New Roman" w:hAnsi="Calibri" w:cs="Calibri"/>
                <w:sz w:val="22"/>
                <w:szCs w:val="22"/>
                <w:lang w:eastAsia="en-GB"/>
              </w:rPr>
              <w:t>10 cycles</w:t>
            </w:r>
          </w:p>
        </w:tc>
      </w:tr>
      <w:tr w:rsidR="00DC51F4" w:rsidRPr="00DC51F4" w:rsidTr="00DC51F4">
        <w:trPr>
          <w:trHeight w:val="300"/>
          <w:jc w:val="center"/>
        </w:trPr>
        <w:tc>
          <w:tcPr>
            <w:tcW w:w="4720" w:type="dxa"/>
            <w:tcBorders>
              <w:top w:val="nil"/>
              <w:left w:val="single" w:sz="4" w:space="0" w:color="auto"/>
              <w:bottom w:val="single" w:sz="4" w:space="0" w:color="auto"/>
              <w:right w:val="single" w:sz="4" w:space="0" w:color="auto"/>
            </w:tcBorders>
            <w:shd w:val="clear" w:color="000000" w:fill="DDEBF7"/>
            <w:noWrap/>
            <w:vAlign w:val="center"/>
            <w:hideMark/>
          </w:tcPr>
          <w:p w:rsidR="00DC51F4" w:rsidRPr="00DC51F4" w:rsidRDefault="00DC51F4" w:rsidP="00DC51F4">
            <w:pPr>
              <w:spacing w:before="0" w:after="0" w:line="240" w:lineRule="auto"/>
              <w:rPr>
                <w:rFonts w:ascii="Calibri" w:eastAsia="Times New Roman" w:hAnsi="Calibri" w:cs="Calibri"/>
                <w:b/>
                <w:bCs/>
                <w:sz w:val="22"/>
                <w:szCs w:val="22"/>
                <w:lang w:eastAsia="en-GB"/>
              </w:rPr>
            </w:pPr>
            <w:r w:rsidRPr="00DC51F4">
              <w:rPr>
                <w:rFonts w:ascii="Calibri" w:eastAsia="Times New Roman" w:hAnsi="Calibri" w:cs="Calibri"/>
                <w:b/>
                <w:bCs/>
                <w:sz w:val="22"/>
                <w:szCs w:val="22"/>
                <w:lang w:eastAsia="en-GB"/>
              </w:rPr>
              <w:t>Capillary rise</w:t>
            </w:r>
          </w:p>
        </w:tc>
        <w:tc>
          <w:tcPr>
            <w:tcW w:w="4060" w:type="dxa"/>
            <w:tcBorders>
              <w:top w:val="nil"/>
              <w:left w:val="nil"/>
              <w:bottom w:val="single" w:sz="4" w:space="0" w:color="auto"/>
              <w:right w:val="single" w:sz="4" w:space="0" w:color="auto"/>
            </w:tcBorders>
            <w:shd w:val="clear" w:color="auto" w:fill="auto"/>
            <w:noWrap/>
            <w:vAlign w:val="center"/>
            <w:hideMark/>
          </w:tcPr>
          <w:p w:rsidR="00DC51F4" w:rsidRPr="00DC51F4" w:rsidRDefault="00DC51F4" w:rsidP="00DC51F4">
            <w:pPr>
              <w:spacing w:before="0" w:after="0" w:line="240" w:lineRule="auto"/>
              <w:rPr>
                <w:rFonts w:ascii="Calibri" w:eastAsia="Times New Roman" w:hAnsi="Calibri" w:cs="Calibri"/>
                <w:sz w:val="22"/>
                <w:szCs w:val="22"/>
                <w:lang w:eastAsia="en-GB"/>
              </w:rPr>
            </w:pPr>
            <w:r w:rsidRPr="00DC51F4">
              <w:rPr>
                <w:rFonts w:ascii="Calibri" w:eastAsia="Times New Roman" w:hAnsi="Calibri" w:cs="Calibri"/>
                <w:sz w:val="22"/>
                <w:szCs w:val="22"/>
                <w:lang w:eastAsia="en-GB"/>
              </w:rPr>
              <w:t>Very high</w:t>
            </w:r>
          </w:p>
        </w:tc>
      </w:tr>
      <w:tr w:rsidR="00DC51F4" w:rsidRPr="00DC51F4" w:rsidTr="00DC51F4">
        <w:trPr>
          <w:trHeight w:val="300"/>
          <w:jc w:val="center"/>
        </w:trPr>
        <w:tc>
          <w:tcPr>
            <w:tcW w:w="4720" w:type="dxa"/>
            <w:tcBorders>
              <w:top w:val="nil"/>
              <w:left w:val="single" w:sz="4" w:space="0" w:color="auto"/>
              <w:bottom w:val="single" w:sz="4" w:space="0" w:color="auto"/>
              <w:right w:val="single" w:sz="4" w:space="0" w:color="auto"/>
            </w:tcBorders>
            <w:shd w:val="clear" w:color="000000" w:fill="DDEBF7"/>
            <w:noWrap/>
            <w:vAlign w:val="bottom"/>
            <w:hideMark/>
          </w:tcPr>
          <w:p w:rsidR="00DC51F4" w:rsidRPr="00DC51F4" w:rsidRDefault="00DC51F4" w:rsidP="00DC51F4">
            <w:pPr>
              <w:spacing w:before="0" w:after="0" w:line="240" w:lineRule="auto"/>
              <w:rPr>
                <w:rFonts w:ascii="Calibri" w:eastAsia="Times New Roman" w:hAnsi="Calibri" w:cs="Calibri"/>
                <w:b/>
                <w:bCs/>
                <w:sz w:val="22"/>
                <w:szCs w:val="22"/>
                <w:lang w:eastAsia="en-GB"/>
              </w:rPr>
            </w:pPr>
            <w:r w:rsidRPr="00DC51F4">
              <w:rPr>
                <w:rFonts w:ascii="Calibri" w:eastAsia="Times New Roman" w:hAnsi="Calibri" w:cs="Calibri"/>
                <w:b/>
                <w:bCs/>
                <w:sz w:val="22"/>
                <w:szCs w:val="22"/>
                <w:lang w:eastAsia="en-GB"/>
              </w:rPr>
              <w:t> </w:t>
            </w:r>
          </w:p>
        </w:tc>
        <w:tc>
          <w:tcPr>
            <w:tcW w:w="4060" w:type="dxa"/>
            <w:tcBorders>
              <w:top w:val="nil"/>
              <w:left w:val="nil"/>
              <w:bottom w:val="single" w:sz="4" w:space="0" w:color="auto"/>
              <w:right w:val="single" w:sz="4" w:space="0" w:color="auto"/>
            </w:tcBorders>
            <w:shd w:val="clear" w:color="000000" w:fill="FFFFFF"/>
            <w:noWrap/>
            <w:vAlign w:val="center"/>
            <w:hideMark/>
          </w:tcPr>
          <w:p w:rsidR="00DC51F4" w:rsidRPr="00DC51F4" w:rsidRDefault="00DC51F4" w:rsidP="00DC51F4">
            <w:pPr>
              <w:spacing w:before="0" w:after="0" w:line="240" w:lineRule="auto"/>
              <w:rPr>
                <w:rFonts w:ascii="Calibri" w:eastAsia="Times New Roman" w:hAnsi="Calibri" w:cs="Calibri"/>
                <w:sz w:val="22"/>
                <w:szCs w:val="22"/>
                <w:lang w:eastAsia="en-GB"/>
              </w:rPr>
            </w:pPr>
            <w:r w:rsidRPr="00DC51F4">
              <w:rPr>
                <w:rFonts w:ascii="Calibri" w:eastAsia="Times New Roman" w:hAnsi="Calibri" w:cs="Calibri"/>
                <w:sz w:val="22"/>
                <w:szCs w:val="22"/>
                <w:lang w:eastAsia="en-GB"/>
              </w:rPr>
              <w:t>(126-150mm in 6 hours)</w:t>
            </w:r>
          </w:p>
        </w:tc>
      </w:tr>
      <w:tr w:rsidR="00DC51F4" w:rsidRPr="00DC51F4" w:rsidTr="00DC51F4">
        <w:trPr>
          <w:trHeight w:val="300"/>
          <w:jc w:val="center"/>
        </w:trPr>
        <w:tc>
          <w:tcPr>
            <w:tcW w:w="4720" w:type="dxa"/>
            <w:tcBorders>
              <w:top w:val="nil"/>
              <w:left w:val="single" w:sz="4" w:space="0" w:color="auto"/>
              <w:bottom w:val="single" w:sz="4" w:space="0" w:color="auto"/>
              <w:right w:val="single" w:sz="4" w:space="0" w:color="auto"/>
            </w:tcBorders>
            <w:shd w:val="clear" w:color="000000" w:fill="DDEBF7"/>
            <w:noWrap/>
            <w:vAlign w:val="bottom"/>
            <w:hideMark/>
          </w:tcPr>
          <w:p w:rsidR="00DC51F4" w:rsidRPr="00DC51F4" w:rsidRDefault="00DC51F4" w:rsidP="00DC51F4">
            <w:pPr>
              <w:spacing w:before="0" w:after="0" w:line="240" w:lineRule="auto"/>
              <w:rPr>
                <w:rFonts w:ascii="Calibri" w:eastAsia="Times New Roman" w:hAnsi="Calibri" w:cs="Calibri"/>
                <w:b/>
                <w:bCs/>
                <w:sz w:val="22"/>
                <w:szCs w:val="22"/>
                <w:lang w:eastAsia="en-GB"/>
              </w:rPr>
            </w:pPr>
            <w:r w:rsidRPr="00DC51F4">
              <w:rPr>
                <w:rFonts w:ascii="Calibri" w:eastAsia="Times New Roman" w:hAnsi="Calibri" w:cs="Calibri"/>
                <w:b/>
                <w:bCs/>
                <w:sz w:val="22"/>
                <w:szCs w:val="22"/>
                <w:lang w:eastAsia="en-GB"/>
              </w:rPr>
              <w:t>Mortar durability class</w:t>
            </w:r>
          </w:p>
        </w:tc>
        <w:tc>
          <w:tcPr>
            <w:tcW w:w="4060" w:type="dxa"/>
            <w:tcBorders>
              <w:top w:val="nil"/>
              <w:left w:val="nil"/>
              <w:bottom w:val="single" w:sz="4" w:space="0" w:color="auto"/>
              <w:right w:val="single" w:sz="4" w:space="0" w:color="auto"/>
            </w:tcBorders>
            <w:shd w:val="clear" w:color="auto" w:fill="auto"/>
            <w:noWrap/>
            <w:vAlign w:val="center"/>
            <w:hideMark/>
          </w:tcPr>
          <w:p w:rsidR="00DC51F4" w:rsidRPr="00DC51F4" w:rsidRDefault="00DC51F4" w:rsidP="00DC51F4">
            <w:pPr>
              <w:spacing w:before="0" w:after="0" w:line="240" w:lineRule="auto"/>
              <w:rPr>
                <w:rFonts w:ascii="Calibri" w:eastAsia="Times New Roman" w:hAnsi="Calibri" w:cs="Calibri"/>
                <w:sz w:val="22"/>
                <w:szCs w:val="22"/>
                <w:lang w:eastAsia="en-GB"/>
              </w:rPr>
            </w:pPr>
            <w:r w:rsidRPr="00DC51F4">
              <w:rPr>
                <w:rFonts w:ascii="Calibri" w:eastAsia="Times New Roman" w:hAnsi="Calibri" w:cs="Calibri"/>
                <w:sz w:val="22"/>
                <w:szCs w:val="22"/>
                <w:lang w:eastAsia="en-GB"/>
              </w:rPr>
              <w:t>1 to 2</w:t>
            </w:r>
          </w:p>
        </w:tc>
      </w:tr>
      <w:tr w:rsidR="00DC51F4" w:rsidRPr="00DC51F4" w:rsidTr="00DC51F4">
        <w:trPr>
          <w:trHeight w:val="300"/>
          <w:jc w:val="center"/>
        </w:trPr>
        <w:tc>
          <w:tcPr>
            <w:tcW w:w="4720" w:type="dxa"/>
            <w:tcBorders>
              <w:top w:val="nil"/>
              <w:left w:val="single" w:sz="4" w:space="0" w:color="auto"/>
              <w:bottom w:val="single" w:sz="4" w:space="0" w:color="auto"/>
              <w:right w:val="single" w:sz="4" w:space="0" w:color="auto"/>
            </w:tcBorders>
            <w:shd w:val="clear" w:color="000000" w:fill="DDEBF7"/>
            <w:noWrap/>
            <w:vAlign w:val="center"/>
            <w:hideMark/>
          </w:tcPr>
          <w:p w:rsidR="00DC51F4" w:rsidRPr="00DC51F4" w:rsidRDefault="00DC51F4" w:rsidP="00DC51F4">
            <w:pPr>
              <w:spacing w:before="0" w:after="0" w:line="240" w:lineRule="auto"/>
              <w:rPr>
                <w:rFonts w:ascii="Calibri" w:eastAsia="Times New Roman" w:hAnsi="Calibri" w:cs="Calibri"/>
                <w:b/>
                <w:bCs/>
                <w:sz w:val="22"/>
                <w:szCs w:val="22"/>
                <w:lang w:eastAsia="en-GB"/>
              </w:rPr>
            </w:pPr>
            <w:r w:rsidRPr="00DC51F4">
              <w:rPr>
                <w:rFonts w:ascii="Calibri" w:eastAsia="Times New Roman" w:hAnsi="Calibri" w:cs="Calibri"/>
                <w:b/>
                <w:bCs/>
                <w:sz w:val="22"/>
                <w:szCs w:val="22"/>
                <w:lang w:eastAsia="en-GB"/>
              </w:rPr>
              <w:t>Carbonation rate</w:t>
            </w:r>
          </w:p>
        </w:tc>
        <w:tc>
          <w:tcPr>
            <w:tcW w:w="4060" w:type="dxa"/>
            <w:tcBorders>
              <w:top w:val="nil"/>
              <w:left w:val="nil"/>
              <w:bottom w:val="single" w:sz="4" w:space="0" w:color="auto"/>
              <w:right w:val="single" w:sz="4" w:space="0" w:color="auto"/>
            </w:tcBorders>
            <w:shd w:val="clear" w:color="auto" w:fill="auto"/>
            <w:noWrap/>
            <w:vAlign w:val="bottom"/>
            <w:hideMark/>
          </w:tcPr>
          <w:p w:rsidR="00DC51F4" w:rsidRPr="00DC51F4" w:rsidRDefault="00DC51F4" w:rsidP="00DC51F4">
            <w:pPr>
              <w:spacing w:before="0" w:after="0" w:line="240" w:lineRule="auto"/>
              <w:rPr>
                <w:rFonts w:ascii="Calibri" w:eastAsia="Times New Roman" w:hAnsi="Calibri" w:cs="Calibri"/>
                <w:sz w:val="22"/>
                <w:szCs w:val="22"/>
                <w:lang w:eastAsia="en-GB"/>
              </w:rPr>
            </w:pPr>
            <w:r w:rsidRPr="00DC51F4">
              <w:rPr>
                <w:rFonts w:ascii="Calibri" w:eastAsia="Times New Roman" w:hAnsi="Calibri" w:cs="Calibri"/>
                <w:sz w:val="22"/>
                <w:szCs w:val="22"/>
                <w:lang w:eastAsia="en-GB"/>
              </w:rPr>
              <w:t>High</w:t>
            </w:r>
          </w:p>
        </w:tc>
      </w:tr>
      <w:tr w:rsidR="00DC51F4" w:rsidRPr="00DC51F4" w:rsidTr="00DC51F4">
        <w:trPr>
          <w:trHeight w:val="300"/>
          <w:jc w:val="center"/>
        </w:trPr>
        <w:tc>
          <w:tcPr>
            <w:tcW w:w="4720" w:type="dxa"/>
            <w:tcBorders>
              <w:top w:val="nil"/>
              <w:left w:val="single" w:sz="4" w:space="0" w:color="auto"/>
              <w:bottom w:val="single" w:sz="4" w:space="0" w:color="auto"/>
              <w:right w:val="single" w:sz="4" w:space="0" w:color="auto"/>
            </w:tcBorders>
            <w:shd w:val="clear" w:color="000000" w:fill="DDEBF7"/>
            <w:noWrap/>
            <w:vAlign w:val="bottom"/>
            <w:hideMark/>
          </w:tcPr>
          <w:p w:rsidR="00DC51F4" w:rsidRPr="00DC51F4" w:rsidRDefault="00DC51F4" w:rsidP="00DC51F4">
            <w:pPr>
              <w:spacing w:before="0" w:after="0" w:line="240" w:lineRule="auto"/>
              <w:rPr>
                <w:rFonts w:ascii="Calibri" w:eastAsia="Times New Roman" w:hAnsi="Calibri" w:cs="Calibri"/>
                <w:b/>
                <w:bCs/>
                <w:sz w:val="22"/>
                <w:szCs w:val="22"/>
                <w:lang w:eastAsia="en-GB"/>
              </w:rPr>
            </w:pPr>
            <w:r w:rsidRPr="00DC51F4">
              <w:rPr>
                <w:rFonts w:ascii="Calibri" w:eastAsia="Times New Roman" w:hAnsi="Calibri" w:cs="Calibri"/>
                <w:b/>
                <w:bCs/>
                <w:sz w:val="22"/>
                <w:szCs w:val="22"/>
                <w:lang w:eastAsia="en-GB"/>
              </w:rPr>
              <w:t>Initial set</w:t>
            </w:r>
          </w:p>
        </w:tc>
        <w:tc>
          <w:tcPr>
            <w:tcW w:w="4060" w:type="dxa"/>
            <w:tcBorders>
              <w:top w:val="nil"/>
              <w:left w:val="nil"/>
              <w:bottom w:val="single" w:sz="4" w:space="0" w:color="auto"/>
              <w:right w:val="single" w:sz="4" w:space="0" w:color="auto"/>
            </w:tcBorders>
            <w:shd w:val="clear" w:color="auto" w:fill="auto"/>
            <w:noWrap/>
            <w:vAlign w:val="bottom"/>
            <w:hideMark/>
          </w:tcPr>
          <w:p w:rsidR="00DC51F4" w:rsidRPr="00DC51F4" w:rsidRDefault="00DC51F4" w:rsidP="00DC51F4">
            <w:pPr>
              <w:spacing w:before="0" w:after="0" w:line="240" w:lineRule="auto"/>
              <w:rPr>
                <w:rFonts w:ascii="Calibri" w:eastAsia="Times New Roman" w:hAnsi="Calibri" w:cs="Calibri"/>
                <w:sz w:val="22"/>
                <w:szCs w:val="22"/>
                <w:lang w:eastAsia="en-GB"/>
              </w:rPr>
            </w:pPr>
            <w:r w:rsidRPr="00DC51F4">
              <w:rPr>
                <w:rFonts w:ascii="Calibri" w:eastAsia="Times New Roman" w:hAnsi="Calibri" w:cs="Calibri"/>
                <w:sz w:val="22"/>
                <w:szCs w:val="22"/>
                <w:lang w:eastAsia="en-GB"/>
              </w:rPr>
              <w:t>Overnight ±</w:t>
            </w:r>
          </w:p>
        </w:tc>
      </w:tr>
      <w:tr w:rsidR="00DC51F4" w:rsidRPr="00DC51F4" w:rsidTr="00DC51F4">
        <w:trPr>
          <w:trHeight w:val="300"/>
          <w:jc w:val="center"/>
        </w:trPr>
        <w:tc>
          <w:tcPr>
            <w:tcW w:w="4720" w:type="dxa"/>
            <w:tcBorders>
              <w:top w:val="nil"/>
              <w:left w:val="single" w:sz="4" w:space="0" w:color="auto"/>
              <w:bottom w:val="single" w:sz="4" w:space="0" w:color="auto"/>
              <w:right w:val="single" w:sz="4" w:space="0" w:color="auto"/>
            </w:tcBorders>
            <w:shd w:val="clear" w:color="000000" w:fill="DDEBF7"/>
            <w:noWrap/>
            <w:vAlign w:val="center"/>
            <w:hideMark/>
          </w:tcPr>
          <w:p w:rsidR="00DC51F4" w:rsidRPr="00DC51F4" w:rsidRDefault="00DC51F4" w:rsidP="00DC51F4">
            <w:pPr>
              <w:spacing w:before="0" w:after="0" w:line="240" w:lineRule="auto"/>
              <w:rPr>
                <w:rFonts w:ascii="Calibri" w:eastAsia="Times New Roman" w:hAnsi="Calibri" w:cs="Calibri"/>
                <w:b/>
                <w:bCs/>
                <w:sz w:val="22"/>
                <w:szCs w:val="22"/>
                <w:lang w:eastAsia="en-GB"/>
              </w:rPr>
            </w:pPr>
            <w:r w:rsidRPr="00DC51F4">
              <w:rPr>
                <w:rFonts w:ascii="Calibri" w:eastAsia="Times New Roman" w:hAnsi="Calibri" w:cs="Calibri"/>
                <w:b/>
                <w:bCs/>
                <w:sz w:val="22"/>
                <w:szCs w:val="22"/>
                <w:lang w:eastAsia="en-GB"/>
              </w:rPr>
              <w:t>Curing</w:t>
            </w:r>
          </w:p>
        </w:tc>
        <w:tc>
          <w:tcPr>
            <w:tcW w:w="4060" w:type="dxa"/>
            <w:tcBorders>
              <w:top w:val="nil"/>
              <w:left w:val="nil"/>
              <w:bottom w:val="single" w:sz="4" w:space="0" w:color="auto"/>
              <w:right w:val="single" w:sz="4" w:space="0" w:color="auto"/>
            </w:tcBorders>
            <w:shd w:val="clear" w:color="auto" w:fill="auto"/>
            <w:noWrap/>
            <w:vAlign w:val="center"/>
            <w:hideMark/>
          </w:tcPr>
          <w:p w:rsidR="00DC51F4" w:rsidRPr="00DC51F4" w:rsidRDefault="00DC51F4" w:rsidP="00DC51F4">
            <w:pPr>
              <w:spacing w:before="0" w:after="0" w:line="240" w:lineRule="auto"/>
              <w:rPr>
                <w:rFonts w:ascii="Calibri" w:eastAsia="Times New Roman" w:hAnsi="Calibri" w:cs="Calibri"/>
                <w:sz w:val="22"/>
                <w:szCs w:val="22"/>
                <w:lang w:eastAsia="en-GB"/>
              </w:rPr>
            </w:pPr>
            <w:r w:rsidRPr="00DC51F4">
              <w:rPr>
                <w:rFonts w:ascii="Calibri" w:eastAsia="Times New Roman" w:hAnsi="Calibri" w:cs="Calibri"/>
                <w:sz w:val="22"/>
                <w:szCs w:val="22"/>
                <w:lang w:eastAsia="en-GB"/>
              </w:rPr>
              <w:t>2mm per calendar month ±</w:t>
            </w:r>
          </w:p>
        </w:tc>
      </w:tr>
    </w:tbl>
    <w:p w:rsidR="00DC51F4" w:rsidRDefault="00DC51F4" w:rsidP="00584AD6">
      <w:pPr>
        <w:rPr>
          <w:sz w:val="24"/>
        </w:rPr>
      </w:pPr>
    </w:p>
    <w:p w:rsidR="00E40827" w:rsidRDefault="00E40827" w:rsidP="00584AD6">
      <w:pPr>
        <w:rPr>
          <w:sz w:val="24"/>
        </w:rPr>
      </w:pPr>
    </w:p>
    <w:p w:rsidR="00E40827" w:rsidRDefault="00E40827" w:rsidP="00584AD6">
      <w:pPr>
        <w:rPr>
          <w:sz w:val="24"/>
        </w:rPr>
      </w:pPr>
    </w:p>
    <w:p w:rsidR="00E40827" w:rsidRDefault="00E40827" w:rsidP="00584AD6">
      <w:pPr>
        <w:rPr>
          <w:sz w:val="24"/>
        </w:rPr>
      </w:pPr>
    </w:p>
    <w:p w:rsidR="00E40827" w:rsidRDefault="00E40827" w:rsidP="00584AD6">
      <w:pPr>
        <w:rPr>
          <w:sz w:val="24"/>
        </w:rPr>
      </w:pPr>
    </w:p>
    <w:p w:rsidR="00E40827" w:rsidRDefault="00E40827" w:rsidP="00584AD6">
      <w:pPr>
        <w:rPr>
          <w:sz w:val="24"/>
        </w:rPr>
      </w:pPr>
    </w:p>
    <w:p w:rsidR="00E40827" w:rsidRDefault="00E40827" w:rsidP="00584AD6">
      <w:pPr>
        <w:rPr>
          <w:sz w:val="24"/>
        </w:rPr>
      </w:pPr>
    </w:p>
    <w:p w:rsidR="00E40827" w:rsidRDefault="00E40827" w:rsidP="00584AD6">
      <w:pPr>
        <w:rPr>
          <w:sz w:val="24"/>
        </w:rPr>
      </w:pPr>
    </w:p>
    <w:p w:rsidR="00E40827" w:rsidRDefault="00E40827" w:rsidP="00584AD6">
      <w:pPr>
        <w:rPr>
          <w:sz w:val="24"/>
        </w:rPr>
      </w:pPr>
    </w:p>
    <w:p w:rsidR="00E40827" w:rsidRDefault="00E40827" w:rsidP="00584AD6">
      <w:pPr>
        <w:rPr>
          <w:sz w:val="24"/>
        </w:rPr>
      </w:pPr>
    </w:p>
    <w:p w:rsidR="002118C5" w:rsidRDefault="002118C5" w:rsidP="00737B47">
      <w:pPr>
        <w:rPr>
          <w:sz w:val="24"/>
        </w:rPr>
      </w:pPr>
    </w:p>
    <w:p w:rsidR="00CE5F4A" w:rsidRDefault="00CE5F4A" w:rsidP="00737B47">
      <w:pPr>
        <w:rPr>
          <w:sz w:val="24"/>
        </w:rPr>
      </w:pPr>
      <w:r>
        <w:rPr>
          <w:sz w:val="24"/>
        </w:rPr>
        <w:lastRenderedPageBreak/>
        <w:t xml:space="preserve">3.0 – Chimney breast cupboards </w:t>
      </w:r>
    </w:p>
    <w:p w:rsidR="00F74B9F" w:rsidRDefault="00F74B9F" w:rsidP="00737B47">
      <w:pPr>
        <w:rPr>
          <w:sz w:val="24"/>
        </w:rPr>
      </w:pPr>
      <w:r>
        <w:rPr>
          <w:sz w:val="24"/>
        </w:rPr>
        <w:t xml:space="preserve">The current cupboards are hiding the </w:t>
      </w:r>
      <w:r w:rsidR="006810AC">
        <w:rPr>
          <w:sz w:val="24"/>
        </w:rPr>
        <w:t>chimney breast, and we would like to remove them to fully expose the chimney and restore it back to its original standard.</w:t>
      </w:r>
    </w:p>
    <w:p w:rsidR="00F74B9F" w:rsidRDefault="00F74B9F" w:rsidP="00F74B9F">
      <w:pPr>
        <w:jc w:val="center"/>
        <w:rPr>
          <w:sz w:val="24"/>
        </w:rPr>
      </w:pPr>
      <w:r>
        <w:rPr>
          <w:noProof/>
          <w:lang w:eastAsia="en-GB"/>
        </w:rPr>
        <w:drawing>
          <wp:inline distT="0" distB="0" distL="0" distR="0" wp14:anchorId="4FF09C56" wp14:editId="12710694">
            <wp:extent cx="3500104" cy="2743200"/>
            <wp:effectExtent l="0" t="0" r="571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523852" cy="2761813"/>
                    </a:xfrm>
                    <a:prstGeom prst="rect">
                      <a:avLst/>
                    </a:prstGeom>
                  </pic:spPr>
                </pic:pic>
              </a:graphicData>
            </a:graphic>
          </wp:inline>
        </w:drawing>
      </w:r>
    </w:p>
    <w:p w:rsidR="006810AC" w:rsidRDefault="006810AC" w:rsidP="006810AC">
      <w:pPr>
        <w:rPr>
          <w:sz w:val="24"/>
        </w:rPr>
      </w:pPr>
      <w:r>
        <w:rPr>
          <w:sz w:val="24"/>
        </w:rPr>
        <w:t>When opening the cupboard, you can see that the inside of the cupboard is wall papered in the same paper as outside the cupboard. This suggests that the cupboards were placed on top of the wall paper at a later date. It also appears the cupboards were installed to hide some old central heating pipes.</w:t>
      </w:r>
    </w:p>
    <w:p w:rsidR="006810AC" w:rsidRDefault="006810AC" w:rsidP="006810AC">
      <w:pPr>
        <w:jc w:val="center"/>
        <w:rPr>
          <w:sz w:val="24"/>
        </w:rPr>
      </w:pPr>
      <w:r>
        <w:rPr>
          <w:noProof/>
          <w:lang w:eastAsia="en-GB"/>
        </w:rPr>
        <w:drawing>
          <wp:inline distT="0" distB="0" distL="0" distR="0" wp14:anchorId="438DB3E6" wp14:editId="41C87993">
            <wp:extent cx="2403045" cy="226863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426578" cy="2290855"/>
                    </a:xfrm>
                    <a:prstGeom prst="rect">
                      <a:avLst/>
                    </a:prstGeom>
                  </pic:spPr>
                </pic:pic>
              </a:graphicData>
            </a:graphic>
          </wp:inline>
        </w:drawing>
      </w:r>
      <w:r>
        <w:rPr>
          <w:sz w:val="24"/>
        </w:rPr>
        <w:t xml:space="preserve">  </w:t>
      </w:r>
      <w:r>
        <w:rPr>
          <w:noProof/>
          <w:lang w:eastAsia="en-GB"/>
        </w:rPr>
        <w:drawing>
          <wp:inline distT="0" distB="0" distL="0" distR="0" wp14:anchorId="7EC4D413" wp14:editId="1F2C3BD0">
            <wp:extent cx="2565034" cy="2257063"/>
            <wp:effectExtent l="0" t="0" r="698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597456" cy="2285592"/>
                    </a:xfrm>
                    <a:prstGeom prst="rect">
                      <a:avLst/>
                    </a:prstGeom>
                  </pic:spPr>
                </pic:pic>
              </a:graphicData>
            </a:graphic>
          </wp:inline>
        </w:drawing>
      </w:r>
    </w:p>
    <w:p w:rsidR="00F131C0" w:rsidRDefault="00F131C0" w:rsidP="006810AC">
      <w:pPr>
        <w:jc w:val="center"/>
        <w:rPr>
          <w:sz w:val="24"/>
        </w:rPr>
      </w:pPr>
    </w:p>
    <w:p w:rsidR="00F131C0" w:rsidRDefault="00F131C0" w:rsidP="006810AC">
      <w:pPr>
        <w:jc w:val="center"/>
        <w:rPr>
          <w:sz w:val="24"/>
        </w:rPr>
      </w:pPr>
      <w:r>
        <w:rPr>
          <w:noProof/>
          <w:lang w:eastAsia="en-GB"/>
        </w:rPr>
        <w:drawing>
          <wp:inline distT="0" distB="0" distL="0" distR="0" wp14:anchorId="5EC44457" wp14:editId="574DCD86">
            <wp:extent cx="2112010" cy="1936372"/>
            <wp:effectExtent l="0" t="0" r="2540" b="698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25698" cy="1948922"/>
                    </a:xfrm>
                    <a:prstGeom prst="rect">
                      <a:avLst/>
                    </a:prstGeom>
                  </pic:spPr>
                </pic:pic>
              </a:graphicData>
            </a:graphic>
          </wp:inline>
        </w:drawing>
      </w:r>
    </w:p>
    <w:p w:rsidR="002118C5" w:rsidRDefault="002118C5" w:rsidP="00737B47">
      <w:pPr>
        <w:rPr>
          <w:sz w:val="24"/>
        </w:rPr>
      </w:pPr>
    </w:p>
    <w:p w:rsidR="00CE5F4A" w:rsidRDefault="00CE5F4A" w:rsidP="00737B47">
      <w:pPr>
        <w:rPr>
          <w:sz w:val="24"/>
        </w:rPr>
      </w:pPr>
      <w:r>
        <w:rPr>
          <w:sz w:val="24"/>
        </w:rPr>
        <w:t xml:space="preserve">In our pre-application we also included the following </w:t>
      </w:r>
      <w:r w:rsidR="00F131C0">
        <w:rPr>
          <w:sz w:val="24"/>
        </w:rPr>
        <w:t xml:space="preserve">significant </w:t>
      </w:r>
      <w:r>
        <w:rPr>
          <w:sz w:val="24"/>
        </w:rPr>
        <w:t>requests which we no longer require</w:t>
      </w:r>
      <w:r w:rsidR="0000626E">
        <w:rPr>
          <w:sz w:val="24"/>
        </w:rPr>
        <w:t xml:space="preserve"> </w:t>
      </w:r>
      <w:r w:rsidR="002118C5">
        <w:rPr>
          <w:sz w:val="24"/>
        </w:rPr>
        <w:t>–</w:t>
      </w:r>
      <w:r w:rsidR="0000626E">
        <w:rPr>
          <w:sz w:val="24"/>
        </w:rPr>
        <w:t xml:space="preserve"> </w:t>
      </w:r>
    </w:p>
    <w:p w:rsidR="002118C5" w:rsidRDefault="002118C5" w:rsidP="00737B47">
      <w:pPr>
        <w:rPr>
          <w:sz w:val="24"/>
        </w:rPr>
      </w:pPr>
    </w:p>
    <w:p w:rsidR="00CE5F4A" w:rsidRDefault="00CE5F4A" w:rsidP="00CE5F4A">
      <w:pPr>
        <w:pStyle w:val="ListParagraph"/>
        <w:numPr>
          <w:ilvl w:val="0"/>
          <w:numId w:val="9"/>
        </w:numPr>
        <w:rPr>
          <w:sz w:val="24"/>
        </w:rPr>
      </w:pPr>
      <w:r>
        <w:rPr>
          <w:sz w:val="24"/>
        </w:rPr>
        <w:t>Re-positioning of bathroom door –</w:t>
      </w:r>
    </w:p>
    <w:p w:rsidR="00CE5F4A" w:rsidRDefault="00CE5F4A" w:rsidP="00CE5F4A">
      <w:pPr>
        <w:pStyle w:val="ListParagraph"/>
        <w:rPr>
          <w:sz w:val="24"/>
        </w:rPr>
      </w:pPr>
      <w:r>
        <w:rPr>
          <w:sz w:val="24"/>
        </w:rPr>
        <w:t xml:space="preserve">We are now installing a new bathroom </w:t>
      </w:r>
      <w:r w:rsidR="0000626E">
        <w:rPr>
          <w:sz w:val="24"/>
        </w:rPr>
        <w:t>suite using the current layout.</w:t>
      </w:r>
    </w:p>
    <w:p w:rsidR="00CE5F4A" w:rsidRDefault="00CE5F4A" w:rsidP="00CE5F4A">
      <w:pPr>
        <w:pStyle w:val="ListParagraph"/>
        <w:rPr>
          <w:sz w:val="24"/>
        </w:rPr>
      </w:pPr>
    </w:p>
    <w:p w:rsidR="00FE1A1B" w:rsidRDefault="00FE1A1B" w:rsidP="00FE1A1B">
      <w:pPr>
        <w:pStyle w:val="ListParagraph"/>
        <w:numPr>
          <w:ilvl w:val="0"/>
          <w:numId w:val="9"/>
        </w:numPr>
        <w:rPr>
          <w:sz w:val="24"/>
        </w:rPr>
      </w:pPr>
      <w:r>
        <w:rPr>
          <w:sz w:val="24"/>
        </w:rPr>
        <w:t xml:space="preserve">New secondary glazing – </w:t>
      </w:r>
    </w:p>
    <w:p w:rsidR="00CE5F4A" w:rsidRDefault="00FE1A1B" w:rsidP="00CE5F4A">
      <w:pPr>
        <w:pStyle w:val="ListParagraph"/>
        <w:rPr>
          <w:sz w:val="24"/>
        </w:rPr>
      </w:pPr>
      <w:r>
        <w:rPr>
          <w:sz w:val="24"/>
        </w:rPr>
        <w:t>The current secondary glazing will now be remaining in the property.</w:t>
      </w:r>
    </w:p>
    <w:p w:rsidR="00FE1A1B" w:rsidRDefault="00FE1A1B" w:rsidP="00CE5F4A">
      <w:pPr>
        <w:pStyle w:val="ListParagraph"/>
        <w:rPr>
          <w:sz w:val="24"/>
        </w:rPr>
      </w:pPr>
    </w:p>
    <w:p w:rsidR="00FE1A1B" w:rsidRDefault="00FE1A1B" w:rsidP="00FE1A1B">
      <w:pPr>
        <w:pStyle w:val="ListParagraph"/>
        <w:numPr>
          <w:ilvl w:val="0"/>
          <w:numId w:val="9"/>
        </w:numPr>
        <w:rPr>
          <w:sz w:val="24"/>
        </w:rPr>
      </w:pPr>
      <w:r>
        <w:rPr>
          <w:sz w:val="24"/>
        </w:rPr>
        <w:t>Extend current Drive –</w:t>
      </w:r>
    </w:p>
    <w:p w:rsidR="00FE1A1B" w:rsidRDefault="00FE1A1B" w:rsidP="00FE1A1B">
      <w:pPr>
        <w:pStyle w:val="ListParagraph"/>
        <w:rPr>
          <w:sz w:val="24"/>
        </w:rPr>
      </w:pPr>
      <w:r>
        <w:rPr>
          <w:sz w:val="24"/>
        </w:rPr>
        <w:t>No plan to extend anymore.</w:t>
      </w:r>
    </w:p>
    <w:p w:rsidR="0000626E" w:rsidRDefault="0000626E" w:rsidP="00FE1A1B">
      <w:pPr>
        <w:pStyle w:val="ListParagraph"/>
        <w:rPr>
          <w:sz w:val="24"/>
        </w:rPr>
      </w:pPr>
    </w:p>
    <w:p w:rsidR="0000626E" w:rsidRDefault="0000626E" w:rsidP="0000626E">
      <w:pPr>
        <w:pStyle w:val="ListParagraph"/>
        <w:numPr>
          <w:ilvl w:val="0"/>
          <w:numId w:val="9"/>
        </w:numPr>
        <w:rPr>
          <w:sz w:val="24"/>
        </w:rPr>
      </w:pPr>
      <w:r>
        <w:rPr>
          <w:sz w:val="24"/>
        </w:rPr>
        <w:t>Extend Garden Patio -</w:t>
      </w:r>
    </w:p>
    <w:p w:rsidR="0000626E" w:rsidRDefault="0000626E" w:rsidP="0000626E">
      <w:pPr>
        <w:pStyle w:val="ListParagraph"/>
        <w:rPr>
          <w:sz w:val="24"/>
        </w:rPr>
      </w:pPr>
      <w:r>
        <w:rPr>
          <w:sz w:val="24"/>
        </w:rPr>
        <w:t>No plan to extend anymore.</w:t>
      </w:r>
    </w:p>
    <w:p w:rsidR="00FE1A1B" w:rsidRDefault="00FE1A1B" w:rsidP="00FE1A1B">
      <w:pPr>
        <w:pStyle w:val="ListParagraph"/>
        <w:rPr>
          <w:sz w:val="24"/>
        </w:rPr>
      </w:pPr>
    </w:p>
    <w:p w:rsidR="00FE1A1B" w:rsidRDefault="00FE1A1B" w:rsidP="00407365">
      <w:pPr>
        <w:pStyle w:val="ListParagraph"/>
        <w:rPr>
          <w:sz w:val="24"/>
        </w:rPr>
      </w:pPr>
    </w:p>
    <w:p w:rsidR="00F74B9F" w:rsidRDefault="00F74B9F" w:rsidP="00407365">
      <w:pPr>
        <w:pStyle w:val="ListParagraph"/>
        <w:rPr>
          <w:sz w:val="24"/>
        </w:rPr>
      </w:pPr>
    </w:p>
    <w:p w:rsidR="00F74B9F" w:rsidRDefault="00F74B9F"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F60B28" w:rsidRDefault="00F60B28" w:rsidP="00407365">
      <w:pPr>
        <w:pStyle w:val="ListParagraph"/>
        <w:rPr>
          <w:sz w:val="24"/>
        </w:rPr>
      </w:pPr>
    </w:p>
    <w:p w:rsidR="00F60B28" w:rsidRDefault="00F60B28"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B62D8D" w:rsidRDefault="00B62D8D" w:rsidP="00321AD8">
      <w:pPr>
        <w:pStyle w:val="Heading1"/>
      </w:pPr>
      <w:r>
        <w:lastRenderedPageBreak/>
        <w:t xml:space="preserve">4. Impact of the Proposed Works </w:t>
      </w:r>
    </w:p>
    <w:p w:rsidR="00B62D8D" w:rsidRDefault="00B62D8D" w:rsidP="00407365">
      <w:pPr>
        <w:pStyle w:val="ListParagraph"/>
      </w:pPr>
    </w:p>
    <w:p w:rsidR="00B62D8D" w:rsidRDefault="00B62D8D" w:rsidP="00407365">
      <w:pPr>
        <w:pStyle w:val="ListParagraph"/>
      </w:pPr>
      <w:r>
        <w:t>4.</w:t>
      </w:r>
      <w:r w:rsidR="00852019">
        <w:t>1</w:t>
      </w:r>
      <w:r>
        <w:t xml:space="preserve"> By increasing the energy efficiency of the property via improvements to</w:t>
      </w:r>
      <w:r w:rsidR="00852019">
        <w:t xml:space="preserve"> </w:t>
      </w:r>
      <w:r>
        <w:t>plumbing and heating systems the energy rating of the property will be significantly increased resulting in a lower carbon footprint.</w:t>
      </w:r>
    </w:p>
    <w:p w:rsidR="00B62D8D" w:rsidRDefault="00B62D8D" w:rsidP="00407365">
      <w:pPr>
        <w:pStyle w:val="ListParagraph"/>
      </w:pPr>
    </w:p>
    <w:p w:rsidR="00B62D8D" w:rsidRDefault="00852019" w:rsidP="00407365">
      <w:pPr>
        <w:pStyle w:val="ListParagraph"/>
      </w:pPr>
      <w:r>
        <w:t>4.2</w:t>
      </w:r>
      <w:r w:rsidR="00B62D8D">
        <w:t xml:space="preserve"> The proposed changes allow for the vast majority of the property to be preserved or restored to its original format, with only sympathetic restoration and improvements carried out. </w:t>
      </w:r>
    </w:p>
    <w:p w:rsidR="00B62D8D" w:rsidRDefault="00B62D8D" w:rsidP="00407365">
      <w:pPr>
        <w:pStyle w:val="ListParagraph"/>
      </w:pPr>
    </w:p>
    <w:p w:rsidR="00B62D8D" w:rsidRDefault="00852019" w:rsidP="00407365">
      <w:pPr>
        <w:pStyle w:val="ListParagraph"/>
      </w:pPr>
      <w:r>
        <w:t>4.3</w:t>
      </w:r>
      <w:r w:rsidR="00B62D8D">
        <w:t xml:space="preserve"> Proposed Exterior works may be described as: - The refurbishment of the original windows, with original materials will </w:t>
      </w:r>
      <w:r w:rsidR="00004720">
        <w:t xml:space="preserve">not only bring the property back to its original standing &amp; character, but will make the property more energy efficient. The outside of the property will be fully re-painted with the correct materials, which will aesthetically bring the property back to its original standing. Over the past several years the </w:t>
      </w:r>
      <w:r w:rsidR="00321AD8">
        <w:t xml:space="preserve">exterior of the property has been neglected. </w:t>
      </w:r>
    </w:p>
    <w:p w:rsidR="00B62D8D" w:rsidRDefault="00B62D8D" w:rsidP="00407365">
      <w:pPr>
        <w:pStyle w:val="ListParagraph"/>
      </w:pPr>
    </w:p>
    <w:p w:rsidR="00B62D8D" w:rsidRDefault="00852019" w:rsidP="00407365">
      <w:pPr>
        <w:pStyle w:val="ListParagraph"/>
      </w:pPr>
      <w:r>
        <w:t>4.4</w:t>
      </w:r>
      <w:r w:rsidR="00B62D8D">
        <w:t xml:space="preserve"> Proposed Interior works may be described as: - Upgrading of central heating syst</w:t>
      </w:r>
      <w:r w:rsidR="00321AD8">
        <w:t>em -</w:t>
      </w:r>
      <w:r w:rsidR="00B62D8D">
        <w:t xml:space="preserve"> Re-instating (opening out) three fireplaces </w:t>
      </w:r>
      <w:r w:rsidR="00321AD8">
        <w:t>–</w:t>
      </w:r>
      <w:r w:rsidR="00B62D8D">
        <w:t xml:space="preserve"> </w:t>
      </w:r>
      <w:r w:rsidR="00321AD8">
        <w:t xml:space="preserve">Removal of wall between the kitchen and sitting room to create a large kitchen diner </w:t>
      </w:r>
      <w:r w:rsidR="00B62D8D">
        <w:t>- Installation of kitchen in the newly created kitchen / dining / living area.</w:t>
      </w:r>
    </w:p>
    <w:p w:rsidR="00B62D8D" w:rsidRDefault="00B62D8D" w:rsidP="00407365">
      <w:pPr>
        <w:pStyle w:val="ListParagraph"/>
      </w:pPr>
    </w:p>
    <w:p w:rsidR="00407365" w:rsidRDefault="00852019" w:rsidP="00407365">
      <w:pPr>
        <w:pStyle w:val="ListParagraph"/>
        <w:rPr>
          <w:sz w:val="24"/>
        </w:rPr>
      </w:pPr>
      <w:r>
        <w:t>4.5</w:t>
      </w:r>
      <w:r w:rsidR="00B62D8D">
        <w:t xml:space="preserve"> The proposed scheme has the following merits: - The exterior of </w:t>
      </w:r>
      <w:r w:rsidR="00321AD8">
        <w:t>the property will remain</w:t>
      </w:r>
      <w:r w:rsidR="00B62D8D">
        <w:t xml:space="preserve"> uncha</w:t>
      </w:r>
      <w:r w:rsidR="00321AD8">
        <w:t>nged</w:t>
      </w:r>
      <w:r w:rsidR="00B62D8D">
        <w:t xml:space="preserve"> from all aspects - The environmental impact of running and maintaining the property is significantly reduced</w:t>
      </w:r>
    </w:p>
    <w:p w:rsidR="00E01DC9" w:rsidRDefault="00E01DC9"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321AD8" w:rsidRDefault="00321AD8" w:rsidP="00321AD8">
      <w:pPr>
        <w:pStyle w:val="Heading1"/>
      </w:pPr>
      <w:r>
        <w:t xml:space="preserve">5. Setting of the Listed Building </w:t>
      </w:r>
    </w:p>
    <w:p w:rsidR="00321AD8" w:rsidRDefault="00321AD8" w:rsidP="00407365">
      <w:pPr>
        <w:pStyle w:val="ListParagraph"/>
      </w:pPr>
    </w:p>
    <w:p w:rsidR="00321AD8" w:rsidRDefault="00321AD8" w:rsidP="00407365">
      <w:pPr>
        <w:pStyle w:val="ListParagraph"/>
      </w:pPr>
      <w:r>
        <w:t xml:space="preserve">5.1 The setting of a listed building is the surroundings in which it is understood, experienced and appreciated, embracing present and past relationships to the surrounding landscape. Views to, from and across a historic asset are an obvious form of evaluation, but other sensory elements may be relevant too, including topography, layout, use, noise, and light pollution, as well as historic, artistic, literary, cultural or scenic associations, tranquillity and remoteness. When assessing proposals, local planning authorities are required to pay special regard to the desirability of preserving the building or its setting or any other features of special architectural or historic interest which it possesses. This is set out in section 66 of the 1990 Act Listed Buildings and Conservation Areas Act. </w:t>
      </w:r>
    </w:p>
    <w:p w:rsidR="00321AD8" w:rsidRDefault="00321AD8" w:rsidP="00407365">
      <w:pPr>
        <w:pStyle w:val="ListParagraph"/>
      </w:pPr>
    </w:p>
    <w:p w:rsidR="00E01DC9" w:rsidRDefault="00321AD8" w:rsidP="00407365">
      <w:pPr>
        <w:pStyle w:val="ListParagraph"/>
        <w:rPr>
          <w:sz w:val="24"/>
        </w:rPr>
      </w:pPr>
      <w:r>
        <w:t>5.2 In terms of its historic setting, 67 Acton Gate is a semi-detached property within the small village of Garden Village. The proposal will have no appreciable impact on this, as none of the exterior is being changed while the interior changes within the property will have no impact on the setting.</w:t>
      </w:r>
    </w:p>
    <w:p w:rsidR="00E01DC9" w:rsidRDefault="00E01DC9" w:rsidP="00407365">
      <w:pPr>
        <w:pStyle w:val="ListParagraph"/>
        <w:rPr>
          <w:sz w:val="24"/>
        </w:rPr>
      </w:pPr>
    </w:p>
    <w:p w:rsidR="00E01DC9" w:rsidRDefault="00E01DC9" w:rsidP="00407365">
      <w:pPr>
        <w:pStyle w:val="ListParagraph"/>
        <w:rPr>
          <w:sz w:val="24"/>
        </w:rPr>
      </w:pPr>
    </w:p>
    <w:p w:rsidR="00BA2D8F" w:rsidRDefault="00BA2D8F" w:rsidP="00407365">
      <w:pPr>
        <w:pStyle w:val="ListParagraph"/>
        <w:rPr>
          <w:sz w:val="24"/>
        </w:rPr>
      </w:pPr>
    </w:p>
    <w:p w:rsidR="00BA2D8F" w:rsidRDefault="00BA2D8F" w:rsidP="00407365">
      <w:pPr>
        <w:pStyle w:val="ListParagraph"/>
        <w:rPr>
          <w:sz w:val="24"/>
        </w:rPr>
      </w:pPr>
    </w:p>
    <w:p w:rsidR="00BA2D8F" w:rsidRDefault="00BA2D8F" w:rsidP="00407365">
      <w:pPr>
        <w:pStyle w:val="ListParagraph"/>
        <w:rPr>
          <w:sz w:val="24"/>
        </w:rPr>
      </w:pPr>
    </w:p>
    <w:p w:rsidR="00BA2D8F" w:rsidRDefault="00BA2D8F" w:rsidP="00407365">
      <w:pPr>
        <w:pStyle w:val="ListParagraph"/>
        <w:rPr>
          <w:sz w:val="24"/>
        </w:rPr>
      </w:pPr>
    </w:p>
    <w:p w:rsidR="00BA2D8F" w:rsidRDefault="00BA2D8F" w:rsidP="00407365">
      <w:pPr>
        <w:pStyle w:val="ListParagraph"/>
        <w:rPr>
          <w:sz w:val="24"/>
        </w:rPr>
      </w:pPr>
    </w:p>
    <w:p w:rsidR="00BA2D8F" w:rsidRDefault="00BA2D8F"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E40827" w:rsidRDefault="00E40827" w:rsidP="00407365">
      <w:pPr>
        <w:pStyle w:val="ListParagraph"/>
        <w:rPr>
          <w:sz w:val="24"/>
        </w:rPr>
      </w:pPr>
    </w:p>
    <w:p w:rsidR="00321AD8" w:rsidRDefault="00321AD8" w:rsidP="00321AD8">
      <w:pPr>
        <w:pStyle w:val="Heading1"/>
      </w:pPr>
      <w:r>
        <w:lastRenderedPageBreak/>
        <w:t xml:space="preserve">6. Legislation and Policy </w:t>
      </w:r>
    </w:p>
    <w:p w:rsidR="00321AD8" w:rsidRDefault="00321AD8" w:rsidP="00407365">
      <w:pPr>
        <w:pStyle w:val="ListParagraph"/>
      </w:pPr>
    </w:p>
    <w:p w:rsidR="00321AD8" w:rsidRDefault="00321AD8" w:rsidP="00407365">
      <w:pPr>
        <w:pStyle w:val="ListParagraph"/>
      </w:pPr>
      <w:r>
        <w:t xml:space="preserve">6.1 Legislation and Policy – The legislative and policy context includes the following:- - 1990 Planning (Listed Buildings and Conservation Areas) Act, section 66 - 2016 Historic Environment (Wales) Act 2016 - Technical Advice Note 24 (The Historic Environment) 2017 including annex 1 (Historic Impact Assessment in Wales), 2 (Managing Change to Listed Buildings in Wales) and 6 (Setting of Historic Assets in Wales) - Planning Policy Wales Edition 9 (November 2016), Section 6 - Pembrokeshire County Council Local Development Plan (2013), Policy GN.38 - Conservation Principles for the Sustainable Management of the Historic Environment in Wales’, Cadw, 2010. </w:t>
      </w:r>
    </w:p>
    <w:p w:rsidR="00321AD8" w:rsidRDefault="00321AD8" w:rsidP="00407365">
      <w:pPr>
        <w:pStyle w:val="ListParagraph"/>
      </w:pPr>
    </w:p>
    <w:p w:rsidR="00321AD8" w:rsidRDefault="00321AD8" w:rsidP="00407365">
      <w:pPr>
        <w:pStyle w:val="ListParagraph"/>
      </w:pPr>
      <w:r>
        <w:t xml:space="preserve">6.2 Evaluation of the proposed scheme in the context of national policy </w:t>
      </w:r>
    </w:p>
    <w:p w:rsidR="00321AD8" w:rsidRDefault="00321AD8" w:rsidP="00407365">
      <w:pPr>
        <w:pStyle w:val="ListParagraph"/>
      </w:pPr>
    </w:p>
    <w:p w:rsidR="00321AD8" w:rsidRDefault="00321AD8" w:rsidP="00407365">
      <w:pPr>
        <w:pStyle w:val="ListParagraph"/>
      </w:pPr>
      <w:r>
        <w:t xml:space="preserve">6.21 The main material policy document is Technical Advice Note 24 (The Historic Environment) 2017. Paragraph 5.13 requires consideration of a number of issues when determining a listed building consent application. </w:t>
      </w:r>
    </w:p>
    <w:p w:rsidR="00321AD8" w:rsidRDefault="00321AD8" w:rsidP="00407365">
      <w:pPr>
        <w:pStyle w:val="ListParagraph"/>
      </w:pPr>
      <w:r>
        <w:t xml:space="preserve">These include:- </w:t>
      </w:r>
    </w:p>
    <w:p w:rsidR="00321AD8" w:rsidRDefault="00321AD8" w:rsidP="00407365">
      <w:pPr>
        <w:pStyle w:val="ListParagraph"/>
      </w:pPr>
    </w:p>
    <w:p w:rsidR="00321AD8" w:rsidRDefault="00321AD8" w:rsidP="00321AD8">
      <w:pPr>
        <w:pStyle w:val="ListParagraph"/>
      </w:pPr>
      <w:r>
        <w:t xml:space="preserve">• The importance and grade of the building and its intrinsic architectural or historic interest. </w:t>
      </w:r>
    </w:p>
    <w:p w:rsidR="00321AD8" w:rsidRDefault="00321AD8" w:rsidP="00321AD8">
      <w:pPr>
        <w:pStyle w:val="ListParagraph"/>
      </w:pPr>
      <w:r>
        <w:t xml:space="preserve">• The physical features of the building which justify its listing and contribute to its significance, (for example its form and layout, materials, construction and detail) including any features of importance such as the interior, which may have come to light after the building’s inclusion on the list. </w:t>
      </w:r>
    </w:p>
    <w:p w:rsidR="00321AD8" w:rsidRDefault="00321AD8" w:rsidP="00321AD8">
      <w:pPr>
        <w:pStyle w:val="ListParagraph"/>
      </w:pPr>
      <w:r>
        <w:t xml:space="preserve">• The contribution of curtilage and setting to the significance of the building, as well as its contribution to its local scene • </w:t>
      </w:r>
      <w:proofErr w:type="gramStart"/>
      <w:r w:rsidR="00F60B28">
        <w:t>The</w:t>
      </w:r>
      <w:proofErr w:type="gramEnd"/>
      <w:r>
        <w:t xml:space="preserve"> impact of the proposed works on the significance of the building. </w:t>
      </w:r>
    </w:p>
    <w:p w:rsidR="00A35A93" w:rsidRDefault="00321AD8" w:rsidP="00321AD8">
      <w:pPr>
        <w:pStyle w:val="ListParagraph"/>
      </w:pPr>
      <w:r>
        <w:t xml:space="preserve">• The extent to which the proposed works would bring substantial community benefits for example, by contributing to the area’s economy or the enhancement of its local environment. The first four points comprise the crux of listed building legislation and it is considered that this statement addresses the relevant issues. In terms of the fifth point, it is certain that the proposal will enhance the local environment and highly likely that the renovated building will contribute to the area's economy through the ability to be used as comfortable work-from-home premises 6.22 Paragraph 5.14 states that 'Many listed buildings can sustain a degree of sensitive alteration and extension to accommodate continuing or new uses. Past changes that reflect the history of use and ownership may themselves be aspects of the special interest of the listed building'. It advises that ' when applicants and the local planning authority assess the heritage values and significance of a listed building, which is the subject of a consent application, they must consider the sensitivity of that building to the proposed changes. Sustaining the special interest and significance of a listed building through the process of alteration, extension or re-use is exacting, and should always be based on specialist knowledge and skill in order to realise the benefits that well-designed interventions can bring’. </w:t>
      </w:r>
    </w:p>
    <w:p w:rsidR="00A35A93" w:rsidRDefault="00A35A93" w:rsidP="00321AD8">
      <w:pPr>
        <w:pStyle w:val="ListParagraph"/>
      </w:pPr>
    </w:p>
    <w:p w:rsidR="00A35A93" w:rsidRDefault="00A35A93" w:rsidP="00321AD8">
      <w:pPr>
        <w:pStyle w:val="ListParagraph"/>
      </w:pPr>
      <w:r>
        <w:t>It is considered that 67</w:t>
      </w:r>
      <w:r w:rsidR="00321AD8">
        <w:t xml:space="preserve"> Acton Gate is capable of sustaining the degree of alteration proposed to sustain its ongoing use as a family home with modern-day requirements and that a careful balance has been made against the heritage values of the building. </w:t>
      </w:r>
    </w:p>
    <w:p w:rsidR="00A35A93" w:rsidRDefault="00A35A93" w:rsidP="00321AD8">
      <w:pPr>
        <w:pStyle w:val="ListParagraph"/>
      </w:pPr>
    </w:p>
    <w:p w:rsidR="00A35A93" w:rsidRDefault="00321AD8" w:rsidP="00321AD8">
      <w:pPr>
        <w:pStyle w:val="ListParagraph"/>
      </w:pPr>
      <w:r>
        <w:t>6.23 From the Welsh Assembly Government publication; ‘Conservation Principles for the sustainable management of the historic environment in Wales’, it is considered tha</w:t>
      </w:r>
      <w:r w:rsidR="00A35A93">
        <w:t>t the work being proposed for 67</w:t>
      </w:r>
      <w:r>
        <w:t xml:space="preserve"> Acton Gate do meet the criteria for justification of new work or alternations which are listed below: </w:t>
      </w:r>
    </w:p>
    <w:p w:rsidR="00A35A93" w:rsidRDefault="00A35A93" w:rsidP="00321AD8">
      <w:pPr>
        <w:pStyle w:val="ListParagraph"/>
      </w:pPr>
    </w:p>
    <w:p w:rsidR="00A35A93" w:rsidRDefault="00321AD8" w:rsidP="00E40827">
      <w:pPr>
        <w:pStyle w:val="ListParagraph"/>
      </w:pPr>
      <w:proofErr w:type="gramStart"/>
      <w:r w:rsidRPr="00E40827">
        <w:rPr>
          <w:b/>
        </w:rPr>
        <w:t>a</w:t>
      </w:r>
      <w:proofErr w:type="gramEnd"/>
      <w:r w:rsidRPr="00E40827">
        <w:rPr>
          <w:b/>
        </w:rPr>
        <w:t>.</w:t>
      </w:r>
      <w:r>
        <w:t xml:space="preserve"> the need for the work is fully justified; and </w:t>
      </w:r>
    </w:p>
    <w:p w:rsidR="00A35A93" w:rsidRDefault="00321AD8" w:rsidP="00E40827">
      <w:pPr>
        <w:pStyle w:val="ListParagraph"/>
      </w:pPr>
      <w:proofErr w:type="gramStart"/>
      <w:r w:rsidRPr="00E40827">
        <w:rPr>
          <w:b/>
        </w:rPr>
        <w:t>b</w:t>
      </w:r>
      <w:proofErr w:type="gramEnd"/>
      <w:r>
        <w:t xml:space="preserve">. there is sufficient information comprehensively to understand the impacts of the proposal on the significance of the asset; and </w:t>
      </w:r>
    </w:p>
    <w:p w:rsidR="00A35A93" w:rsidRDefault="00321AD8" w:rsidP="00E40827">
      <w:pPr>
        <w:pStyle w:val="ListParagraph"/>
      </w:pPr>
      <w:proofErr w:type="gramStart"/>
      <w:r w:rsidRPr="00E40827">
        <w:rPr>
          <w:b/>
        </w:rPr>
        <w:t>c</w:t>
      </w:r>
      <w:proofErr w:type="gramEnd"/>
      <w:r>
        <w:t xml:space="preserve">. the proposal would not materially harm the values of that asset, which, where appropriate, would be reinforced or further revealed; and </w:t>
      </w:r>
    </w:p>
    <w:p w:rsidR="00E01DC9" w:rsidRPr="00321AD8" w:rsidRDefault="00321AD8" w:rsidP="00321AD8">
      <w:pPr>
        <w:pStyle w:val="ListParagraph"/>
      </w:pPr>
      <w:proofErr w:type="gramStart"/>
      <w:r w:rsidRPr="00E40827">
        <w:rPr>
          <w:b/>
        </w:rPr>
        <w:t>d</w:t>
      </w:r>
      <w:proofErr w:type="gramEnd"/>
      <w:r>
        <w:t>. the quality of design and execution must add value to the existing asset; and e. the long-term consequences of the proposals can, from experience, be demonstrated to b</w:t>
      </w:r>
    </w:p>
    <w:p w:rsidR="00E01DC9" w:rsidRDefault="00E01DC9" w:rsidP="00407365">
      <w:pPr>
        <w:pStyle w:val="ListParagraph"/>
        <w:rPr>
          <w:sz w:val="24"/>
        </w:rPr>
      </w:pPr>
    </w:p>
    <w:p w:rsidR="00E01DC9" w:rsidRDefault="00E01DC9" w:rsidP="00407365">
      <w:pPr>
        <w:pStyle w:val="ListParagraph"/>
        <w:rPr>
          <w:sz w:val="24"/>
        </w:rPr>
      </w:pPr>
    </w:p>
    <w:p w:rsidR="00A35A93" w:rsidRDefault="00A35A93" w:rsidP="00A35A93">
      <w:pPr>
        <w:pStyle w:val="Heading1"/>
      </w:pPr>
      <w:r>
        <w:lastRenderedPageBreak/>
        <w:t>7. Evaluation of the proposed scheme in the context of the</w:t>
      </w:r>
    </w:p>
    <w:p w:rsidR="00A35A93" w:rsidRDefault="00A35A93" w:rsidP="004917A8">
      <w:pPr>
        <w:pStyle w:val="Heading1"/>
      </w:pPr>
      <w:r>
        <w:t xml:space="preserve"> Conservation Principles </w:t>
      </w:r>
    </w:p>
    <w:p w:rsidR="004917A8" w:rsidRPr="004917A8" w:rsidRDefault="004917A8" w:rsidP="004917A8"/>
    <w:p w:rsidR="00A35A93" w:rsidRPr="00A35A93" w:rsidRDefault="004917A8" w:rsidP="00407365">
      <w:pPr>
        <w:pStyle w:val="ListParagraph"/>
        <w:rPr>
          <w:b/>
        </w:rPr>
      </w:pPr>
      <w:r>
        <w:rPr>
          <w:b/>
        </w:rPr>
        <w:t xml:space="preserve">Principal </w:t>
      </w:r>
      <w:r w:rsidR="00A35A93" w:rsidRPr="00A35A93">
        <w:rPr>
          <w:b/>
        </w:rPr>
        <w:t xml:space="preserve">1 – Historic Assets will be managed to sustain their values </w:t>
      </w:r>
    </w:p>
    <w:p w:rsidR="00A35A93" w:rsidRDefault="00A35A93" w:rsidP="00407365">
      <w:pPr>
        <w:pStyle w:val="ListParagraph"/>
      </w:pPr>
      <w:r>
        <w:t xml:space="preserve">Changes in the historic environment are inevitable and conservation of historic buildings is about the careful management of change, having special regard to the desirability of preserving the building or its setting or any features of special architectural or historic interest which it possesses. </w:t>
      </w:r>
    </w:p>
    <w:p w:rsidR="00A35A93" w:rsidRDefault="00A35A93" w:rsidP="00407365">
      <w:pPr>
        <w:pStyle w:val="ListParagraph"/>
      </w:pPr>
    </w:p>
    <w:p w:rsidR="00A35A93" w:rsidRDefault="00A35A93" w:rsidP="00407365">
      <w:pPr>
        <w:pStyle w:val="ListParagraph"/>
      </w:pPr>
      <w:r>
        <w:t xml:space="preserve">The proposed works at 67 Acton Gate are perceived as conserving the special character of the house whilst upgrading its facilities for modern-day residential use. The works of alteration mainly centres on the removal of a wall between the kitchen and sitting room and improvements to the internal efficiencies of the house. The character of 71 Acton Gate, as an example of an early house built in Garden Village and designed by G. L. Sutcliffe remains unaltered. </w:t>
      </w:r>
    </w:p>
    <w:p w:rsidR="00A35A93" w:rsidRDefault="00A35A93" w:rsidP="00407365">
      <w:pPr>
        <w:pStyle w:val="ListParagraph"/>
      </w:pPr>
    </w:p>
    <w:p w:rsidR="004917A8" w:rsidRPr="004917A8" w:rsidRDefault="00A35A93" w:rsidP="00407365">
      <w:pPr>
        <w:pStyle w:val="ListParagraph"/>
        <w:rPr>
          <w:b/>
        </w:rPr>
      </w:pPr>
      <w:r w:rsidRPr="004917A8">
        <w:rPr>
          <w:b/>
        </w:rPr>
        <w:t xml:space="preserve">Principle 2 – Understanding the significance of historic assets is vital </w:t>
      </w:r>
    </w:p>
    <w:p w:rsidR="00A35A93" w:rsidRDefault="00A35A93" w:rsidP="00407365">
      <w:pPr>
        <w:pStyle w:val="ListParagraph"/>
      </w:pPr>
      <w:r>
        <w:t>In evidential terms,</w:t>
      </w:r>
      <w:r w:rsidR="004917A8">
        <w:t xml:space="preserve"> the structural history of 67</w:t>
      </w:r>
      <w:r>
        <w:t xml:space="preserve"> Acton Gate is very straightforward, as examined above. In terms of comm</w:t>
      </w:r>
      <w:r w:rsidR="004917A8">
        <w:t>unal value, to the historian, 67</w:t>
      </w:r>
      <w:r>
        <w:t xml:space="preserve"> Acton Gate is a well</w:t>
      </w:r>
      <w:r w:rsidR="00776C92">
        <w:t>-preserved semi-detached house,</w:t>
      </w:r>
      <w:r>
        <w:t xml:space="preserve"> the proposed scheme has no impact on any of this. </w:t>
      </w:r>
    </w:p>
    <w:p w:rsidR="00A35A93" w:rsidRDefault="00A35A93" w:rsidP="00407365">
      <w:pPr>
        <w:pStyle w:val="ListParagraph"/>
      </w:pPr>
    </w:p>
    <w:p w:rsidR="004917A8" w:rsidRPr="004917A8" w:rsidRDefault="00A35A93" w:rsidP="00407365">
      <w:pPr>
        <w:pStyle w:val="ListParagraph"/>
        <w:rPr>
          <w:b/>
        </w:rPr>
      </w:pPr>
      <w:r w:rsidRPr="004917A8">
        <w:rPr>
          <w:b/>
        </w:rPr>
        <w:t xml:space="preserve">Principle 3 – The historic environment is a shared resource </w:t>
      </w:r>
    </w:p>
    <w:p w:rsidR="004917A8" w:rsidRDefault="004917A8" w:rsidP="00407365">
      <w:pPr>
        <w:pStyle w:val="ListParagraph"/>
      </w:pPr>
      <w:r>
        <w:t>Although 67</w:t>
      </w:r>
      <w:r w:rsidR="00A35A93">
        <w:t xml:space="preserve"> Acton Gate is a private house, along with the other listed properties on the road, it has formed an important part of Garden Village. In terms of public interest, the legal procedures needed to obtain listed building consent provide the mechanisms for arbitrating between private and public interests. </w:t>
      </w:r>
    </w:p>
    <w:p w:rsidR="004917A8" w:rsidRDefault="004917A8" w:rsidP="00407365">
      <w:pPr>
        <w:pStyle w:val="ListParagraph"/>
      </w:pPr>
    </w:p>
    <w:p w:rsidR="004917A8" w:rsidRPr="004917A8" w:rsidRDefault="00A35A93" w:rsidP="00407365">
      <w:pPr>
        <w:pStyle w:val="ListParagraph"/>
        <w:rPr>
          <w:b/>
        </w:rPr>
      </w:pPr>
      <w:r w:rsidRPr="004917A8">
        <w:rPr>
          <w:b/>
        </w:rPr>
        <w:t xml:space="preserve">Principle 4 – Everyone will be able to participate in sustaining the historic environment </w:t>
      </w:r>
    </w:p>
    <w:p w:rsidR="004917A8" w:rsidRDefault="00A35A93" w:rsidP="00407365">
      <w:pPr>
        <w:pStyle w:val="ListParagraph"/>
      </w:pPr>
      <w:r>
        <w:t>It is hoped that this document will assist ensuring that decisions</w:t>
      </w:r>
      <w:r w:rsidR="004917A8">
        <w:t xml:space="preserve"> about 67</w:t>
      </w:r>
      <w:r>
        <w:t xml:space="preserve"> Acton Gate are taken in an open and transparent manner, as well as sharing what is known about the house to date, raising people’s awareness and understanding of their heritage. </w:t>
      </w:r>
    </w:p>
    <w:p w:rsidR="004917A8" w:rsidRDefault="004917A8" w:rsidP="00407365">
      <w:pPr>
        <w:pStyle w:val="ListParagraph"/>
      </w:pPr>
    </w:p>
    <w:p w:rsidR="004917A8" w:rsidRPr="004917A8" w:rsidRDefault="00A35A93" w:rsidP="00407365">
      <w:pPr>
        <w:pStyle w:val="ListParagraph"/>
        <w:rPr>
          <w:b/>
        </w:rPr>
      </w:pPr>
      <w:r w:rsidRPr="004917A8">
        <w:rPr>
          <w:b/>
        </w:rPr>
        <w:t>Principle 5 – Decisions about change must be reasonable, transparent and consistent</w:t>
      </w:r>
    </w:p>
    <w:p w:rsidR="004917A8" w:rsidRDefault="00A35A93" w:rsidP="00407365">
      <w:pPr>
        <w:pStyle w:val="ListParagraph"/>
      </w:pPr>
      <w:r>
        <w:t xml:space="preserve">It is hoped that this document will underpin this principle and provide a clear justification for proposed changes to the building. </w:t>
      </w:r>
    </w:p>
    <w:p w:rsidR="004917A8" w:rsidRDefault="004917A8" w:rsidP="00407365">
      <w:pPr>
        <w:pStyle w:val="ListParagraph"/>
      </w:pPr>
    </w:p>
    <w:p w:rsidR="004917A8" w:rsidRPr="004917A8" w:rsidRDefault="00A35A93" w:rsidP="00407365">
      <w:pPr>
        <w:pStyle w:val="ListParagraph"/>
        <w:rPr>
          <w:b/>
        </w:rPr>
      </w:pPr>
      <w:r w:rsidRPr="004917A8">
        <w:rPr>
          <w:b/>
        </w:rPr>
        <w:t xml:space="preserve">Principle 6 – Documenting and learning from decisions is essential </w:t>
      </w:r>
    </w:p>
    <w:p w:rsidR="00E01DC9" w:rsidRDefault="00A35A93" w:rsidP="00407365">
      <w:pPr>
        <w:pStyle w:val="ListParagraph"/>
        <w:rPr>
          <w:sz w:val="24"/>
        </w:rPr>
      </w:pPr>
      <w:r>
        <w:t>The information and documentation gathered as a result of the proposed scheme will be retained by the owners, with a copy provided to the Wrexham Borough C</w:t>
      </w:r>
      <w:r w:rsidR="004917A8">
        <w:t xml:space="preserve">ouncils public archive. </w:t>
      </w:r>
    </w:p>
    <w:p w:rsidR="00776C92" w:rsidRDefault="00776C92" w:rsidP="00407365">
      <w:pPr>
        <w:pStyle w:val="ListParagraph"/>
        <w:rPr>
          <w:sz w:val="24"/>
        </w:rPr>
      </w:pPr>
    </w:p>
    <w:p w:rsidR="00776C92" w:rsidRDefault="00776C92" w:rsidP="00407365">
      <w:pPr>
        <w:pStyle w:val="ListParagraph"/>
        <w:rPr>
          <w:sz w:val="24"/>
        </w:rPr>
      </w:pPr>
    </w:p>
    <w:p w:rsidR="004917A8" w:rsidRDefault="00F60B28" w:rsidP="004917A8">
      <w:pPr>
        <w:pStyle w:val="Heading1"/>
      </w:pPr>
      <w:r>
        <w:t>8. Assessing the changes to 67</w:t>
      </w:r>
      <w:r w:rsidR="004917A8">
        <w:t xml:space="preserve"> Acton Gate in the context of the Conservation Principles </w:t>
      </w:r>
    </w:p>
    <w:p w:rsidR="004917A8" w:rsidRDefault="004917A8" w:rsidP="00407365">
      <w:pPr>
        <w:pStyle w:val="ListParagraph"/>
      </w:pPr>
    </w:p>
    <w:p w:rsidR="004917A8" w:rsidRDefault="004917A8" w:rsidP="00407365">
      <w:pPr>
        <w:pStyle w:val="ListParagraph"/>
      </w:pPr>
      <w:r>
        <w:t xml:space="preserve">Changes to the building may be categorised as new work or alteration, including: New work or alteration </w:t>
      </w:r>
    </w:p>
    <w:p w:rsidR="004917A8" w:rsidRDefault="004917A8" w:rsidP="00407365">
      <w:pPr>
        <w:pStyle w:val="ListParagraph"/>
      </w:pPr>
    </w:p>
    <w:p w:rsidR="004917A8" w:rsidRDefault="004917A8" w:rsidP="00407365">
      <w:pPr>
        <w:pStyle w:val="ListParagraph"/>
      </w:pPr>
      <w:r>
        <w:t>• Re-instating / Opening out of boarded up / non-original fireplaces in three rooms</w:t>
      </w:r>
      <w:r w:rsidR="00F60B28">
        <w:t>.</w:t>
      </w:r>
      <w:r>
        <w:t xml:space="preserve"> </w:t>
      </w:r>
    </w:p>
    <w:p w:rsidR="004917A8" w:rsidRDefault="004917A8" w:rsidP="00407365">
      <w:pPr>
        <w:pStyle w:val="ListParagraph"/>
      </w:pPr>
      <w:r>
        <w:t xml:space="preserve">• Removal of </w:t>
      </w:r>
      <w:r w:rsidR="00F60B28">
        <w:t xml:space="preserve">wall dividing the kitchen &amp; sitting room to create a larger Kitchen / Diner. </w:t>
      </w:r>
      <w:r>
        <w:t xml:space="preserve"> </w:t>
      </w:r>
    </w:p>
    <w:p w:rsidR="004917A8" w:rsidRDefault="004917A8" w:rsidP="00407365">
      <w:pPr>
        <w:pStyle w:val="ListParagraph"/>
      </w:pPr>
      <w:r>
        <w:t>• Modernisation of the various utilities within th</w:t>
      </w:r>
      <w:r w:rsidR="00F60B28">
        <w:t>e property including</w:t>
      </w:r>
      <w:r>
        <w:t xml:space="preserve"> central </w:t>
      </w:r>
      <w:r w:rsidR="00F60B28">
        <w:t>heating &amp; plumbing.</w:t>
      </w:r>
    </w:p>
    <w:p w:rsidR="00E01DC9" w:rsidRDefault="004917A8" w:rsidP="00F60B28">
      <w:pPr>
        <w:pStyle w:val="ListParagraph"/>
      </w:pPr>
      <w:r>
        <w:t xml:space="preserve">• </w:t>
      </w:r>
      <w:r w:rsidR="00F60B28">
        <w:t>Removal of non-original cupboards either side of the chimney breast in the sitting room.</w:t>
      </w:r>
    </w:p>
    <w:p w:rsidR="00F60B28" w:rsidRDefault="00F60B28" w:rsidP="00F60B28">
      <w:pPr>
        <w:pStyle w:val="ListParagraph"/>
      </w:pPr>
    </w:p>
    <w:p w:rsidR="00F60B28" w:rsidRDefault="00F60B28" w:rsidP="00F60B28">
      <w:pPr>
        <w:pStyle w:val="ListParagraph"/>
      </w:pPr>
    </w:p>
    <w:p w:rsidR="00F60B28" w:rsidRDefault="00F60B28" w:rsidP="00F60B28">
      <w:pPr>
        <w:pStyle w:val="ListParagraph"/>
      </w:pPr>
    </w:p>
    <w:p w:rsidR="00F60B28" w:rsidRDefault="00F60B28" w:rsidP="00F60B28">
      <w:pPr>
        <w:pStyle w:val="ListParagraph"/>
      </w:pPr>
    </w:p>
    <w:p w:rsidR="00F60B28" w:rsidRDefault="00F60B28" w:rsidP="00F60B28">
      <w:pPr>
        <w:pStyle w:val="Heading1"/>
      </w:pPr>
      <w:r>
        <w:t xml:space="preserve">9. Conclusion </w:t>
      </w:r>
    </w:p>
    <w:p w:rsidR="00F60B28" w:rsidRDefault="00F60B28" w:rsidP="00F60B28">
      <w:pPr>
        <w:pStyle w:val="ListParagraph"/>
      </w:pPr>
    </w:p>
    <w:p w:rsidR="00F60B28" w:rsidRDefault="00F60B28" w:rsidP="00F60B28">
      <w:pPr>
        <w:pStyle w:val="ListParagraph"/>
      </w:pPr>
      <w:r>
        <w:t>9.1 This Heritage Impact Statement has been completed in line with current CADW guidance (CADW 2017a).</w:t>
      </w:r>
    </w:p>
    <w:p w:rsidR="00F60B28" w:rsidRDefault="00F60B28" w:rsidP="00F60B28">
      <w:pPr>
        <w:pStyle w:val="ListParagraph"/>
      </w:pPr>
    </w:p>
    <w:p w:rsidR="00FF4B09" w:rsidRDefault="00F60B28" w:rsidP="00F60B28">
      <w:pPr>
        <w:pStyle w:val="ListParagraph"/>
      </w:pPr>
      <w:r>
        <w:t>9.2 Completion of the works will allow the property to become a fully functioning family home once again</w:t>
      </w:r>
      <w:r w:rsidR="00FF4B09">
        <w:t xml:space="preserve">. </w:t>
      </w:r>
    </w:p>
    <w:p w:rsidR="00776C92" w:rsidRDefault="00776C92" w:rsidP="00F60B28">
      <w:pPr>
        <w:pStyle w:val="ListParagraph"/>
      </w:pPr>
    </w:p>
    <w:p w:rsidR="00FF4B09" w:rsidRDefault="00F60B28" w:rsidP="00F60B28">
      <w:pPr>
        <w:pStyle w:val="ListParagraph"/>
      </w:pPr>
      <w:r>
        <w:t xml:space="preserve">9.3 </w:t>
      </w:r>
      <w:r w:rsidR="00FF4B09">
        <w:t>The removal of the wall diving the kitchen &amp; sitting to create a larger kitchen space, which will be the focal point of the family home.</w:t>
      </w:r>
    </w:p>
    <w:p w:rsidR="00FF4B09" w:rsidRDefault="00FF4B09" w:rsidP="00F60B28">
      <w:pPr>
        <w:pStyle w:val="ListParagraph"/>
      </w:pPr>
    </w:p>
    <w:p w:rsidR="00FF4B09" w:rsidRDefault="00F60B28" w:rsidP="00F60B28">
      <w:pPr>
        <w:pStyle w:val="ListParagraph"/>
      </w:pPr>
      <w:r>
        <w:t xml:space="preserve">9.4 The proposal has been carefully planned to preserve and restore as much of the original house as possible. </w:t>
      </w:r>
    </w:p>
    <w:p w:rsidR="00FF4B09" w:rsidRDefault="00FF4B09" w:rsidP="00F60B28">
      <w:pPr>
        <w:pStyle w:val="ListParagraph"/>
      </w:pPr>
    </w:p>
    <w:p w:rsidR="00FF4B09" w:rsidRDefault="00F60B28" w:rsidP="00F60B28">
      <w:pPr>
        <w:pStyle w:val="ListParagraph"/>
      </w:pPr>
      <w:r>
        <w:t xml:space="preserve">9.5 The property will receive significant investment to sympathetically modernise to </w:t>
      </w:r>
      <w:r w:rsidR="00FF4B09">
        <w:t>today’s</w:t>
      </w:r>
      <w:r>
        <w:t xml:space="preserve"> living standards whilst maintaining and restoring many original features, protecting the property for many generations to come. </w:t>
      </w:r>
    </w:p>
    <w:p w:rsidR="00FF4B09" w:rsidRDefault="00FF4B09" w:rsidP="00F60B28">
      <w:pPr>
        <w:pStyle w:val="ListParagraph"/>
      </w:pPr>
    </w:p>
    <w:p w:rsidR="00FF4B09" w:rsidRDefault="00F60B28" w:rsidP="00F60B28">
      <w:pPr>
        <w:pStyle w:val="ListParagraph"/>
      </w:pPr>
      <w:r>
        <w:t>9.6 Taken as a whole, it is concluded that the proposed development would at least ‘preserve’ th</w:t>
      </w:r>
      <w:r w:rsidR="00FF4B09">
        <w:t>e character and appearance of 67</w:t>
      </w:r>
      <w:r>
        <w:t xml:space="preserve"> Acton Gate. This is determined on the basis that all of those elements of the property which make a positive contribution to the listing are maintained. </w:t>
      </w:r>
    </w:p>
    <w:p w:rsidR="00FF4B09" w:rsidRDefault="00FF4B09" w:rsidP="00F60B28">
      <w:pPr>
        <w:pStyle w:val="ListParagraph"/>
      </w:pPr>
    </w:p>
    <w:p w:rsidR="00F60B28" w:rsidRDefault="00F60B28" w:rsidP="00F60B28">
      <w:pPr>
        <w:pStyle w:val="ListParagraph"/>
        <w:rPr>
          <w:sz w:val="24"/>
        </w:rPr>
      </w:pPr>
      <w:r>
        <w:t>9.7 It is hoped that this report adequately addresses the impact of the proposal on th</w:t>
      </w:r>
      <w:r w:rsidR="00FF4B09">
        <w:t>e character and setting of the 67</w:t>
      </w:r>
      <w:r>
        <w:t xml:space="preserve"> Acton Gate, balancing the statutory requirement to preserve the listed building with government and local policy to retain it in suitable use and condition.</w:t>
      </w:r>
    </w:p>
    <w:p w:rsidR="00E01DC9" w:rsidRDefault="00E01DC9" w:rsidP="00407365">
      <w:pPr>
        <w:pStyle w:val="ListParagraph"/>
        <w:rPr>
          <w:sz w:val="24"/>
        </w:rPr>
      </w:pPr>
    </w:p>
    <w:p w:rsidR="00E01DC9" w:rsidRDefault="00E01DC9" w:rsidP="00407365">
      <w:pPr>
        <w:pStyle w:val="ListParagraph"/>
        <w:rPr>
          <w:sz w:val="24"/>
        </w:rPr>
      </w:pPr>
    </w:p>
    <w:p w:rsidR="00E01DC9" w:rsidRDefault="00E01DC9" w:rsidP="00407365">
      <w:pPr>
        <w:pStyle w:val="ListParagraph"/>
        <w:rPr>
          <w:sz w:val="24"/>
        </w:rPr>
      </w:pPr>
    </w:p>
    <w:p w:rsidR="00E01DC9" w:rsidRDefault="00E01DC9" w:rsidP="00407365">
      <w:pPr>
        <w:pStyle w:val="ListParagraph"/>
        <w:rPr>
          <w:sz w:val="24"/>
        </w:rPr>
      </w:pPr>
    </w:p>
    <w:p w:rsidR="002118C5" w:rsidRDefault="002118C5" w:rsidP="00407365">
      <w:pPr>
        <w:pStyle w:val="ListParagraph"/>
        <w:rPr>
          <w:sz w:val="24"/>
        </w:rPr>
      </w:pPr>
    </w:p>
    <w:p w:rsidR="002118C5" w:rsidRDefault="002118C5" w:rsidP="00407365">
      <w:pPr>
        <w:pStyle w:val="ListParagraph"/>
        <w:rPr>
          <w:sz w:val="24"/>
        </w:rPr>
      </w:pPr>
    </w:p>
    <w:p w:rsidR="002118C5" w:rsidRDefault="002118C5" w:rsidP="00407365">
      <w:pPr>
        <w:pStyle w:val="ListParagraph"/>
        <w:rPr>
          <w:sz w:val="24"/>
        </w:rPr>
      </w:pPr>
    </w:p>
    <w:p w:rsidR="002118C5" w:rsidRDefault="002118C5" w:rsidP="00407365">
      <w:pPr>
        <w:pStyle w:val="ListParagraph"/>
        <w:rPr>
          <w:sz w:val="24"/>
        </w:rPr>
      </w:pPr>
    </w:p>
    <w:p w:rsidR="002118C5" w:rsidRDefault="002118C5" w:rsidP="00407365">
      <w:pPr>
        <w:pStyle w:val="ListParagraph"/>
        <w:rPr>
          <w:sz w:val="24"/>
        </w:rPr>
      </w:pPr>
    </w:p>
    <w:p w:rsidR="002118C5" w:rsidRDefault="002118C5" w:rsidP="00407365">
      <w:pPr>
        <w:pStyle w:val="ListParagraph"/>
        <w:rPr>
          <w:sz w:val="24"/>
        </w:rPr>
      </w:pPr>
    </w:p>
    <w:p w:rsidR="002118C5" w:rsidRDefault="002118C5" w:rsidP="00407365">
      <w:pPr>
        <w:pStyle w:val="ListParagraph"/>
        <w:rPr>
          <w:sz w:val="24"/>
        </w:rPr>
      </w:pPr>
    </w:p>
    <w:p w:rsidR="002118C5" w:rsidRDefault="002118C5" w:rsidP="00407365">
      <w:pPr>
        <w:pStyle w:val="ListParagraph"/>
        <w:rPr>
          <w:sz w:val="24"/>
        </w:rPr>
      </w:pPr>
    </w:p>
    <w:p w:rsidR="002118C5" w:rsidRDefault="002118C5" w:rsidP="00407365">
      <w:pPr>
        <w:pStyle w:val="ListParagraph"/>
        <w:rPr>
          <w:sz w:val="24"/>
        </w:rPr>
      </w:pPr>
    </w:p>
    <w:p w:rsidR="002118C5" w:rsidRDefault="002118C5" w:rsidP="00407365">
      <w:pPr>
        <w:pStyle w:val="ListParagraph"/>
        <w:rPr>
          <w:sz w:val="24"/>
        </w:rPr>
      </w:pPr>
    </w:p>
    <w:p w:rsidR="002118C5" w:rsidRDefault="002118C5" w:rsidP="00407365">
      <w:pPr>
        <w:pStyle w:val="ListParagraph"/>
        <w:rPr>
          <w:sz w:val="24"/>
        </w:rPr>
      </w:pPr>
    </w:p>
    <w:p w:rsidR="002118C5" w:rsidRDefault="002118C5" w:rsidP="00407365">
      <w:pPr>
        <w:pStyle w:val="ListParagraph"/>
        <w:rPr>
          <w:sz w:val="24"/>
        </w:rPr>
      </w:pPr>
    </w:p>
    <w:p w:rsidR="002118C5" w:rsidRDefault="002118C5" w:rsidP="00407365">
      <w:pPr>
        <w:pStyle w:val="ListParagraph"/>
        <w:rPr>
          <w:sz w:val="24"/>
        </w:rPr>
      </w:pPr>
    </w:p>
    <w:p w:rsidR="002118C5" w:rsidRDefault="002118C5" w:rsidP="00407365">
      <w:pPr>
        <w:pStyle w:val="ListParagraph"/>
        <w:rPr>
          <w:sz w:val="24"/>
        </w:rPr>
      </w:pPr>
    </w:p>
    <w:p w:rsidR="002118C5" w:rsidRDefault="002118C5" w:rsidP="00407365">
      <w:pPr>
        <w:pStyle w:val="ListParagraph"/>
        <w:rPr>
          <w:sz w:val="24"/>
        </w:rPr>
      </w:pPr>
    </w:p>
    <w:p w:rsidR="002118C5" w:rsidRDefault="002118C5" w:rsidP="00407365">
      <w:pPr>
        <w:pStyle w:val="ListParagraph"/>
        <w:rPr>
          <w:sz w:val="24"/>
        </w:rPr>
      </w:pPr>
    </w:p>
    <w:p w:rsidR="002118C5" w:rsidRDefault="002118C5" w:rsidP="00407365">
      <w:pPr>
        <w:pStyle w:val="ListParagraph"/>
        <w:rPr>
          <w:sz w:val="24"/>
        </w:rPr>
      </w:pPr>
    </w:p>
    <w:p w:rsidR="002118C5" w:rsidRDefault="002118C5" w:rsidP="00407365">
      <w:pPr>
        <w:pStyle w:val="ListParagraph"/>
        <w:rPr>
          <w:sz w:val="24"/>
        </w:rPr>
      </w:pPr>
    </w:p>
    <w:p w:rsidR="002118C5" w:rsidRDefault="002118C5" w:rsidP="00407365">
      <w:pPr>
        <w:pStyle w:val="ListParagraph"/>
        <w:rPr>
          <w:sz w:val="24"/>
        </w:rPr>
      </w:pPr>
    </w:p>
    <w:p w:rsidR="002118C5" w:rsidRDefault="002118C5" w:rsidP="00407365">
      <w:pPr>
        <w:pStyle w:val="ListParagraph"/>
        <w:rPr>
          <w:sz w:val="24"/>
        </w:rPr>
      </w:pPr>
    </w:p>
    <w:p w:rsidR="00FD0D6D" w:rsidRDefault="00E77E8B" w:rsidP="00E77E8B">
      <w:pPr>
        <w:rPr>
          <w:b/>
          <w:sz w:val="24"/>
        </w:rPr>
      </w:pPr>
      <w:r w:rsidRPr="00E77E8B">
        <w:rPr>
          <w:b/>
          <w:sz w:val="24"/>
        </w:rPr>
        <w:lastRenderedPageBreak/>
        <w:t>Appendix A - CADW - Full Report for Listed Building</w:t>
      </w:r>
      <w:r>
        <w:rPr>
          <w:b/>
          <w:sz w:val="24"/>
        </w:rPr>
        <w:t xml:space="preserve"> – </w:t>
      </w:r>
    </w:p>
    <w:p w:rsidR="00662073" w:rsidRDefault="00662073" w:rsidP="00E77E8B">
      <w:pPr>
        <w:rPr>
          <w:b/>
          <w:sz w:val="24"/>
        </w:rPr>
      </w:pPr>
    </w:p>
    <w:p w:rsidR="00407365" w:rsidRDefault="00407365" w:rsidP="00E77E8B">
      <w:pPr>
        <w:rPr>
          <w:b/>
          <w:sz w:val="24"/>
        </w:rPr>
      </w:pPr>
      <w:r>
        <w:rPr>
          <w:noProof/>
          <w:lang w:eastAsia="en-GB"/>
        </w:rPr>
        <w:drawing>
          <wp:inline distT="0" distB="0" distL="0" distR="0" wp14:anchorId="7F371BDC" wp14:editId="0CCDEEF0">
            <wp:extent cx="6645910" cy="6555740"/>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645910" cy="6555740"/>
                    </a:xfrm>
                    <a:prstGeom prst="rect">
                      <a:avLst/>
                    </a:prstGeom>
                  </pic:spPr>
                </pic:pic>
              </a:graphicData>
            </a:graphic>
          </wp:inline>
        </w:drawing>
      </w:r>
    </w:p>
    <w:p w:rsidR="00407365" w:rsidRDefault="00E01DC9" w:rsidP="00E77E8B">
      <w:pPr>
        <w:rPr>
          <w:b/>
          <w:sz w:val="24"/>
        </w:rPr>
      </w:pPr>
      <w:r>
        <w:rPr>
          <w:noProof/>
          <w:lang w:eastAsia="en-GB"/>
        </w:rPr>
        <w:drawing>
          <wp:inline distT="0" distB="0" distL="0" distR="0" wp14:anchorId="7CCE75FB" wp14:editId="642D4FB5">
            <wp:extent cx="6645910" cy="1727835"/>
            <wp:effectExtent l="0" t="0" r="254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645910" cy="1727835"/>
                    </a:xfrm>
                    <a:prstGeom prst="rect">
                      <a:avLst/>
                    </a:prstGeom>
                  </pic:spPr>
                </pic:pic>
              </a:graphicData>
            </a:graphic>
          </wp:inline>
        </w:drawing>
      </w:r>
    </w:p>
    <w:p w:rsidR="00407365" w:rsidRDefault="00407365" w:rsidP="00E77E8B">
      <w:pPr>
        <w:rPr>
          <w:b/>
          <w:sz w:val="24"/>
        </w:rPr>
      </w:pPr>
    </w:p>
    <w:p w:rsidR="00407365" w:rsidRDefault="00407365" w:rsidP="00E77E8B">
      <w:pPr>
        <w:rPr>
          <w:b/>
          <w:sz w:val="24"/>
        </w:rPr>
      </w:pPr>
    </w:p>
    <w:p w:rsidR="00E77E8B" w:rsidRDefault="00407365" w:rsidP="00E77E8B">
      <w:pPr>
        <w:rPr>
          <w:b/>
          <w:sz w:val="24"/>
        </w:rPr>
      </w:pPr>
      <w:r w:rsidRPr="00407365">
        <w:rPr>
          <w:b/>
          <w:sz w:val="24"/>
        </w:rPr>
        <w:t>Appendix B - Map from CADW website showing the listed properties on Acton Gate</w:t>
      </w:r>
    </w:p>
    <w:p w:rsidR="001101E3" w:rsidRPr="00407365" w:rsidRDefault="001101E3" w:rsidP="00E77E8B">
      <w:pPr>
        <w:rPr>
          <w:b/>
          <w:sz w:val="32"/>
        </w:rPr>
      </w:pPr>
    </w:p>
    <w:p w:rsidR="00407365" w:rsidRDefault="00E77E8B" w:rsidP="00407365">
      <w:pPr>
        <w:jc w:val="center"/>
        <w:rPr>
          <w:b/>
          <w:sz w:val="32"/>
        </w:rPr>
      </w:pPr>
      <w:r>
        <w:rPr>
          <w:noProof/>
          <w:lang w:eastAsia="en-GB"/>
        </w:rPr>
        <w:drawing>
          <wp:inline distT="0" distB="0" distL="0" distR="0" wp14:anchorId="4E49BB7A" wp14:editId="7DF80D87">
            <wp:extent cx="5811263" cy="7690790"/>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820577" cy="7703116"/>
                    </a:xfrm>
                    <a:prstGeom prst="rect">
                      <a:avLst/>
                    </a:prstGeom>
                  </pic:spPr>
                </pic:pic>
              </a:graphicData>
            </a:graphic>
          </wp:inline>
        </w:drawing>
      </w:r>
    </w:p>
    <w:p w:rsidR="007D4D7D" w:rsidRDefault="007D4D7D" w:rsidP="007D4D7D">
      <w:pPr>
        <w:rPr>
          <w:b/>
          <w:sz w:val="24"/>
        </w:rPr>
      </w:pPr>
      <w:r w:rsidRPr="007D4D7D">
        <w:rPr>
          <w:b/>
          <w:sz w:val="24"/>
        </w:rPr>
        <w:lastRenderedPageBreak/>
        <w:t>Appendix C - Ordnance Survey Map Denbighshire XXVII.NE. Series: Ordnance Survey. Six-inch to the mile Revised: 1938 Published: ca. 1944</w:t>
      </w:r>
    </w:p>
    <w:p w:rsidR="007D4D7D" w:rsidRDefault="007D4D7D" w:rsidP="007D4D7D">
      <w:pPr>
        <w:rPr>
          <w:b/>
          <w:sz w:val="24"/>
        </w:rPr>
      </w:pPr>
    </w:p>
    <w:p w:rsidR="007D4D7D" w:rsidRDefault="007D4D7D" w:rsidP="007D4D7D">
      <w:pPr>
        <w:rPr>
          <w:b/>
          <w:sz w:val="40"/>
        </w:rPr>
      </w:pPr>
      <w:r>
        <w:rPr>
          <w:noProof/>
          <w:lang w:eastAsia="en-GB"/>
        </w:rPr>
        <w:drawing>
          <wp:inline distT="0" distB="0" distL="0" distR="0" wp14:anchorId="3405BF05" wp14:editId="751066DD">
            <wp:extent cx="6166167" cy="4597636"/>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66167" cy="4597636"/>
                    </a:xfrm>
                    <a:prstGeom prst="rect">
                      <a:avLst/>
                    </a:prstGeom>
                  </pic:spPr>
                </pic:pic>
              </a:graphicData>
            </a:graphic>
          </wp:inline>
        </w:drawing>
      </w:r>
    </w:p>
    <w:p w:rsidR="007D4D7D" w:rsidRDefault="007D4D7D" w:rsidP="007D4D7D"/>
    <w:p w:rsidR="007D4D7D" w:rsidRDefault="007D4D7D" w:rsidP="007D4D7D">
      <w:pPr>
        <w:rPr>
          <w:b/>
          <w:sz w:val="40"/>
        </w:rPr>
      </w:pPr>
      <w:r>
        <w:t>Enlarged area from 1938 map showing Acton Gate Houses</w:t>
      </w:r>
    </w:p>
    <w:p w:rsidR="007D4D7D" w:rsidRPr="007D4D7D" w:rsidRDefault="007D4D7D" w:rsidP="007D4D7D">
      <w:pPr>
        <w:rPr>
          <w:b/>
          <w:sz w:val="40"/>
        </w:rPr>
      </w:pPr>
      <w:r>
        <w:rPr>
          <w:noProof/>
          <w:lang w:eastAsia="en-GB"/>
        </w:rPr>
        <w:drawing>
          <wp:inline distT="0" distB="0" distL="0" distR="0" wp14:anchorId="59DE6962" wp14:editId="245D9971">
            <wp:extent cx="2552831" cy="251472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552831" cy="2514729"/>
                    </a:xfrm>
                    <a:prstGeom prst="rect">
                      <a:avLst/>
                    </a:prstGeom>
                  </pic:spPr>
                </pic:pic>
              </a:graphicData>
            </a:graphic>
          </wp:inline>
        </w:drawing>
      </w:r>
    </w:p>
    <w:sectPr w:rsidR="007D4D7D" w:rsidRPr="007D4D7D" w:rsidSect="009B6E29">
      <w:footerReference w:type="default" r:id="rId3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213F" w:rsidRDefault="0028213F" w:rsidP="00736565">
      <w:pPr>
        <w:spacing w:before="0" w:after="0" w:line="240" w:lineRule="auto"/>
      </w:pPr>
      <w:r>
        <w:separator/>
      </w:r>
    </w:p>
  </w:endnote>
  <w:endnote w:type="continuationSeparator" w:id="0">
    <w:p w:rsidR="0028213F" w:rsidRDefault="0028213F" w:rsidP="0073656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1399032"/>
      <w:docPartObj>
        <w:docPartGallery w:val="Page Numbers (Bottom of Page)"/>
        <w:docPartUnique/>
      </w:docPartObj>
    </w:sdtPr>
    <w:sdtEndPr>
      <w:rPr>
        <w:noProof/>
        <w:sz w:val="18"/>
      </w:rPr>
    </w:sdtEndPr>
    <w:sdtContent>
      <w:p w:rsidR="00736565" w:rsidRPr="009B6E29" w:rsidRDefault="00736565" w:rsidP="00736565">
        <w:pPr>
          <w:pStyle w:val="Footer"/>
          <w:rPr>
            <w:sz w:val="18"/>
          </w:rPr>
        </w:pPr>
        <w:r w:rsidRPr="009B6E29">
          <w:rPr>
            <w:sz w:val="18"/>
          </w:rPr>
          <w:t xml:space="preserve">Page | </w:t>
        </w:r>
        <w:r w:rsidRPr="009B6E29">
          <w:rPr>
            <w:sz w:val="18"/>
          </w:rPr>
          <w:fldChar w:fldCharType="begin"/>
        </w:r>
        <w:r w:rsidRPr="009B6E29">
          <w:rPr>
            <w:sz w:val="18"/>
          </w:rPr>
          <w:instrText xml:space="preserve"> PAGE   \* MERGEFORMAT </w:instrText>
        </w:r>
        <w:r w:rsidRPr="009B6E29">
          <w:rPr>
            <w:sz w:val="18"/>
          </w:rPr>
          <w:fldChar w:fldCharType="separate"/>
        </w:r>
        <w:r w:rsidR="002118C5">
          <w:rPr>
            <w:noProof/>
            <w:sz w:val="18"/>
          </w:rPr>
          <w:t>20</w:t>
        </w:r>
        <w:r w:rsidRPr="009B6E29">
          <w:rPr>
            <w:noProof/>
            <w:sz w:val="18"/>
          </w:rPr>
          <w:fldChar w:fldCharType="end"/>
        </w:r>
        <w:r w:rsidRPr="009B6E29">
          <w:rPr>
            <w:noProof/>
            <w:sz w:val="18"/>
          </w:rPr>
          <w:tab/>
          <w:t>Heritage Impact statement – 67 Acton Gate – November 2021</w:t>
        </w:r>
      </w:p>
    </w:sdtContent>
  </w:sdt>
  <w:p w:rsidR="00736565" w:rsidRDefault="007365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213F" w:rsidRDefault="0028213F" w:rsidP="00736565">
      <w:pPr>
        <w:spacing w:before="0" w:after="0" w:line="240" w:lineRule="auto"/>
      </w:pPr>
      <w:r>
        <w:separator/>
      </w:r>
    </w:p>
  </w:footnote>
  <w:footnote w:type="continuationSeparator" w:id="0">
    <w:p w:rsidR="0028213F" w:rsidRDefault="0028213F" w:rsidP="00736565">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517E9"/>
    <w:multiLevelType w:val="hybridMultilevel"/>
    <w:tmpl w:val="1B8A03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2E5CDE"/>
    <w:multiLevelType w:val="multilevel"/>
    <w:tmpl w:val="089EDA2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F471C93"/>
    <w:multiLevelType w:val="multilevel"/>
    <w:tmpl w:val="E84C32B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1D8120C"/>
    <w:multiLevelType w:val="multilevel"/>
    <w:tmpl w:val="89C254D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A4376DB"/>
    <w:multiLevelType w:val="hybridMultilevel"/>
    <w:tmpl w:val="FC329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F06C45"/>
    <w:multiLevelType w:val="hybridMultilevel"/>
    <w:tmpl w:val="B2DAC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9D1225"/>
    <w:multiLevelType w:val="hybridMultilevel"/>
    <w:tmpl w:val="6E147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C379A7"/>
    <w:multiLevelType w:val="hybridMultilevel"/>
    <w:tmpl w:val="78B05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26EEC"/>
    <w:multiLevelType w:val="hybridMultilevel"/>
    <w:tmpl w:val="6B309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5728D8"/>
    <w:multiLevelType w:val="hybridMultilevel"/>
    <w:tmpl w:val="BDA29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2"/>
  </w:num>
  <w:num w:numId="6">
    <w:abstractNumId w:val="7"/>
  </w:num>
  <w:num w:numId="7">
    <w:abstractNumId w:val="6"/>
  </w:num>
  <w:num w:numId="8">
    <w:abstractNumId w:val="8"/>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565"/>
    <w:rsid w:val="00004720"/>
    <w:rsid w:val="00004EBA"/>
    <w:rsid w:val="0000626E"/>
    <w:rsid w:val="000107E3"/>
    <w:rsid w:val="000276F7"/>
    <w:rsid w:val="00072B78"/>
    <w:rsid w:val="001101E3"/>
    <w:rsid w:val="001A3601"/>
    <w:rsid w:val="001C0F87"/>
    <w:rsid w:val="002118C5"/>
    <w:rsid w:val="0028213F"/>
    <w:rsid w:val="002A15EC"/>
    <w:rsid w:val="002B08BD"/>
    <w:rsid w:val="00321AD8"/>
    <w:rsid w:val="00347D52"/>
    <w:rsid w:val="003B5143"/>
    <w:rsid w:val="00407365"/>
    <w:rsid w:val="004917A8"/>
    <w:rsid w:val="004D5890"/>
    <w:rsid w:val="00544BEE"/>
    <w:rsid w:val="0056781D"/>
    <w:rsid w:val="00584AD6"/>
    <w:rsid w:val="005900CB"/>
    <w:rsid w:val="00662073"/>
    <w:rsid w:val="006810AC"/>
    <w:rsid w:val="006957CD"/>
    <w:rsid w:val="006C1638"/>
    <w:rsid w:val="006F5C17"/>
    <w:rsid w:val="00732404"/>
    <w:rsid w:val="00736565"/>
    <w:rsid w:val="00737B47"/>
    <w:rsid w:val="00776C92"/>
    <w:rsid w:val="007B2E6E"/>
    <w:rsid w:val="007C52B6"/>
    <w:rsid w:val="007D4D7D"/>
    <w:rsid w:val="00806933"/>
    <w:rsid w:val="00826056"/>
    <w:rsid w:val="00834F4E"/>
    <w:rsid w:val="00845FEC"/>
    <w:rsid w:val="00852019"/>
    <w:rsid w:val="00885231"/>
    <w:rsid w:val="008A0677"/>
    <w:rsid w:val="008B1A09"/>
    <w:rsid w:val="008F61AA"/>
    <w:rsid w:val="00915720"/>
    <w:rsid w:val="009A7A16"/>
    <w:rsid w:val="009B5A30"/>
    <w:rsid w:val="009B6E29"/>
    <w:rsid w:val="009E1BFC"/>
    <w:rsid w:val="00A03C76"/>
    <w:rsid w:val="00A06674"/>
    <w:rsid w:val="00A07493"/>
    <w:rsid w:val="00A35A93"/>
    <w:rsid w:val="00A602D4"/>
    <w:rsid w:val="00A61115"/>
    <w:rsid w:val="00A77AC4"/>
    <w:rsid w:val="00AC2FBF"/>
    <w:rsid w:val="00AF6A3B"/>
    <w:rsid w:val="00B612B5"/>
    <w:rsid w:val="00B62D8D"/>
    <w:rsid w:val="00B62DDD"/>
    <w:rsid w:val="00BA2D8F"/>
    <w:rsid w:val="00BB60F5"/>
    <w:rsid w:val="00C124FE"/>
    <w:rsid w:val="00CB6BCC"/>
    <w:rsid w:val="00CE5F4A"/>
    <w:rsid w:val="00CF6167"/>
    <w:rsid w:val="00DC51F4"/>
    <w:rsid w:val="00DF3DF6"/>
    <w:rsid w:val="00E01DC9"/>
    <w:rsid w:val="00E40827"/>
    <w:rsid w:val="00E7179A"/>
    <w:rsid w:val="00E77E8B"/>
    <w:rsid w:val="00F131C0"/>
    <w:rsid w:val="00F349A4"/>
    <w:rsid w:val="00F60B28"/>
    <w:rsid w:val="00F74B9F"/>
    <w:rsid w:val="00FD0D6D"/>
    <w:rsid w:val="00FE1A1B"/>
    <w:rsid w:val="00FE2AD1"/>
    <w:rsid w:val="00FF4B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5EDE5E5-8E31-41AD-93EF-CEB745A49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6E29"/>
  </w:style>
  <w:style w:type="paragraph" w:styleId="Heading1">
    <w:name w:val="heading 1"/>
    <w:basedOn w:val="Normal"/>
    <w:next w:val="Normal"/>
    <w:link w:val="Heading1Char"/>
    <w:uiPriority w:val="9"/>
    <w:qFormat/>
    <w:rsid w:val="009B6E29"/>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9B6E29"/>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9B6E29"/>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semiHidden/>
    <w:unhideWhenUsed/>
    <w:qFormat/>
    <w:rsid w:val="009B6E29"/>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9B6E29"/>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9B6E29"/>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9B6E29"/>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9B6E29"/>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9B6E29"/>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65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6565"/>
  </w:style>
  <w:style w:type="paragraph" w:styleId="Footer">
    <w:name w:val="footer"/>
    <w:basedOn w:val="Normal"/>
    <w:link w:val="FooterChar"/>
    <w:uiPriority w:val="99"/>
    <w:unhideWhenUsed/>
    <w:rsid w:val="007365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6565"/>
  </w:style>
  <w:style w:type="character" w:customStyle="1" w:styleId="Heading1Char">
    <w:name w:val="Heading 1 Char"/>
    <w:basedOn w:val="DefaultParagraphFont"/>
    <w:link w:val="Heading1"/>
    <w:uiPriority w:val="9"/>
    <w:rsid w:val="009B6E29"/>
    <w:rPr>
      <w:caps/>
      <w:color w:val="FFFFFF" w:themeColor="background1"/>
      <w:spacing w:val="15"/>
      <w:sz w:val="22"/>
      <w:szCs w:val="22"/>
      <w:shd w:val="clear" w:color="auto" w:fill="5B9BD5" w:themeFill="accent1"/>
    </w:rPr>
  </w:style>
  <w:style w:type="character" w:customStyle="1" w:styleId="Heading2Char">
    <w:name w:val="Heading 2 Char"/>
    <w:basedOn w:val="DefaultParagraphFont"/>
    <w:link w:val="Heading2"/>
    <w:uiPriority w:val="9"/>
    <w:rsid w:val="009B6E29"/>
    <w:rPr>
      <w:caps/>
      <w:spacing w:val="15"/>
      <w:shd w:val="clear" w:color="auto" w:fill="DEEAF6" w:themeFill="accent1" w:themeFillTint="33"/>
    </w:rPr>
  </w:style>
  <w:style w:type="character" w:customStyle="1" w:styleId="Heading3Char">
    <w:name w:val="Heading 3 Char"/>
    <w:basedOn w:val="DefaultParagraphFont"/>
    <w:link w:val="Heading3"/>
    <w:uiPriority w:val="9"/>
    <w:semiHidden/>
    <w:rsid w:val="009B6E29"/>
    <w:rPr>
      <w:caps/>
      <w:color w:val="1F4D78" w:themeColor="accent1" w:themeShade="7F"/>
      <w:spacing w:val="15"/>
    </w:rPr>
  </w:style>
  <w:style w:type="character" w:customStyle="1" w:styleId="Heading4Char">
    <w:name w:val="Heading 4 Char"/>
    <w:basedOn w:val="DefaultParagraphFont"/>
    <w:link w:val="Heading4"/>
    <w:uiPriority w:val="9"/>
    <w:semiHidden/>
    <w:rsid w:val="009B6E29"/>
    <w:rPr>
      <w:caps/>
      <w:color w:val="2E74B5" w:themeColor="accent1" w:themeShade="BF"/>
      <w:spacing w:val="10"/>
    </w:rPr>
  </w:style>
  <w:style w:type="character" w:customStyle="1" w:styleId="Heading5Char">
    <w:name w:val="Heading 5 Char"/>
    <w:basedOn w:val="DefaultParagraphFont"/>
    <w:link w:val="Heading5"/>
    <w:uiPriority w:val="9"/>
    <w:semiHidden/>
    <w:rsid w:val="009B6E29"/>
    <w:rPr>
      <w:caps/>
      <w:color w:val="2E74B5" w:themeColor="accent1" w:themeShade="BF"/>
      <w:spacing w:val="10"/>
    </w:rPr>
  </w:style>
  <w:style w:type="character" w:customStyle="1" w:styleId="Heading6Char">
    <w:name w:val="Heading 6 Char"/>
    <w:basedOn w:val="DefaultParagraphFont"/>
    <w:link w:val="Heading6"/>
    <w:uiPriority w:val="9"/>
    <w:semiHidden/>
    <w:rsid w:val="009B6E29"/>
    <w:rPr>
      <w:caps/>
      <w:color w:val="2E74B5" w:themeColor="accent1" w:themeShade="BF"/>
      <w:spacing w:val="10"/>
    </w:rPr>
  </w:style>
  <w:style w:type="character" w:customStyle="1" w:styleId="Heading7Char">
    <w:name w:val="Heading 7 Char"/>
    <w:basedOn w:val="DefaultParagraphFont"/>
    <w:link w:val="Heading7"/>
    <w:uiPriority w:val="9"/>
    <w:semiHidden/>
    <w:rsid w:val="009B6E29"/>
    <w:rPr>
      <w:caps/>
      <w:color w:val="2E74B5" w:themeColor="accent1" w:themeShade="BF"/>
      <w:spacing w:val="10"/>
    </w:rPr>
  </w:style>
  <w:style w:type="character" w:customStyle="1" w:styleId="Heading8Char">
    <w:name w:val="Heading 8 Char"/>
    <w:basedOn w:val="DefaultParagraphFont"/>
    <w:link w:val="Heading8"/>
    <w:uiPriority w:val="9"/>
    <w:semiHidden/>
    <w:rsid w:val="009B6E29"/>
    <w:rPr>
      <w:caps/>
      <w:spacing w:val="10"/>
      <w:sz w:val="18"/>
      <w:szCs w:val="18"/>
    </w:rPr>
  </w:style>
  <w:style w:type="character" w:customStyle="1" w:styleId="Heading9Char">
    <w:name w:val="Heading 9 Char"/>
    <w:basedOn w:val="DefaultParagraphFont"/>
    <w:link w:val="Heading9"/>
    <w:uiPriority w:val="9"/>
    <w:semiHidden/>
    <w:rsid w:val="009B6E29"/>
    <w:rPr>
      <w:i/>
      <w:iCs/>
      <w:caps/>
      <w:spacing w:val="10"/>
      <w:sz w:val="18"/>
      <w:szCs w:val="18"/>
    </w:rPr>
  </w:style>
  <w:style w:type="paragraph" w:styleId="Caption">
    <w:name w:val="caption"/>
    <w:basedOn w:val="Normal"/>
    <w:next w:val="Normal"/>
    <w:uiPriority w:val="35"/>
    <w:semiHidden/>
    <w:unhideWhenUsed/>
    <w:qFormat/>
    <w:rsid w:val="009B6E29"/>
    <w:rPr>
      <w:b/>
      <w:bCs/>
      <w:color w:val="2E74B5" w:themeColor="accent1" w:themeShade="BF"/>
      <w:sz w:val="16"/>
      <w:szCs w:val="16"/>
    </w:rPr>
  </w:style>
  <w:style w:type="paragraph" w:styleId="Title">
    <w:name w:val="Title"/>
    <w:basedOn w:val="Normal"/>
    <w:next w:val="Normal"/>
    <w:link w:val="TitleChar"/>
    <w:uiPriority w:val="10"/>
    <w:qFormat/>
    <w:rsid w:val="009B6E29"/>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9B6E29"/>
    <w:rPr>
      <w:rFonts w:asciiTheme="majorHAnsi" w:eastAsiaTheme="majorEastAsia" w:hAnsiTheme="majorHAnsi" w:cstheme="majorBidi"/>
      <w:caps/>
      <w:color w:val="5B9BD5" w:themeColor="accent1"/>
      <w:spacing w:val="10"/>
      <w:sz w:val="52"/>
      <w:szCs w:val="52"/>
    </w:rPr>
  </w:style>
  <w:style w:type="paragraph" w:styleId="Subtitle">
    <w:name w:val="Subtitle"/>
    <w:basedOn w:val="Normal"/>
    <w:next w:val="Normal"/>
    <w:link w:val="SubtitleChar"/>
    <w:uiPriority w:val="11"/>
    <w:qFormat/>
    <w:rsid w:val="009B6E29"/>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9B6E29"/>
    <w:rPr>
      <w:caps/>
      <w:color w:val="595959" w:themeColor="text1" w:themeTint="A6"/>
      <w:spacing w:val="10"/>
      <w:sz w:val="21"/>
      <w:szCs w:val="21"/>
    </w:rPr>
  </w:style>
  <w:style w:type="character" w:styleId="Strong">
    <w:name w:val="Strong"/>
    <w:uiPriority w:val="22"/>
    <w:qFormat/>
    <w:rsid w:val="009B6E29"/>
    <w:rPr>
      <w:b/>
      <w:bCs/>
    </w:rPr>
  </w:style>
  <w:style w:type="character" w:styleId="Emphasis">
    <w:name w:val="Emphasis"/>
    <w:uiPriority w:val="20"/>
    <w:qFormat/>
    <w:rsid w:val="009B6E29"/>
    <w:rPr>
      <w:caps/>
      <w:color w:val="1F4D78" w:themeColor="accent1" w:themeShade="7F"/>
      <w:spacing w:val="5"/>
    </w:rPr>
  </w:style>
  <w:style w:type="paragraph" w:styleId="NoSpacing">
    <w:name w:val="No Spacing"/>
    <w:uiPriority w:val="1"/>
    <w:qFormat/>
    <w:rsid w:val="009B6E29"/>
    <w:pPr>
      <w:spacing w:after="0" w:line="240" w:lineRule="auto"/>
    </w:pPr>
  </w:style>
  <w:style w:type="paragraph" w:styleId="Quote">
    <w:name w:val="Quote"/>
    <w:basedOn w:val="Normal"/>
    <w:next w:val="Normal"/>
    <w:link w:val="QuoteChar"/>
    <w:uiPriority w:val="29"/>
    <w:qFormat/>
    <w:rsid w:val="009B6E29"/>
    <w:rPr>
      <w:i/>
      <w:iCs/>
      <w:sz w:val="24"/>
      <w:szCs w:val="24"/>
    </w:rPr>
  </w:style>
  <w:style w:type="character" w:customStyle="1" w:styleId="QuoteChar">
    <w:name w:val="Quote Char"/>
    <w:basedOn w:val="DefaultParagraphFont"/>
    <w:link w:val="Quote"/>
    <w:uiPriority w:val="29"/>
    <w:rsid w:val="009B6E29"/>
    <w:rPr>
      <w:i/>
      <w:iCs/>
      <w:sz w:val="24"/>
      <w:szCs w:val="24"/>
    </w:rPr>
  </w:style>
  <w:style w:type="paragraph" w:styleId="IntenseQuote">
    <w:name w:val="Intense Quote"/>
    <w:basedOn w:val="Normal"/>
    <w:next w:val="Normal"/>
    <w:link w:val="IntenseQuoteChar"/>
    <w:uiPriority w:val="30"/>
    <w:qFormat/>
    <w:rsid w:val="009B6E29"/>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9B6E29"/>
    <w:rPr>
      <w:color w:val="5B9BD5" w:themeColor="accent1"/>
      <w:sz w:val="24"/>
      <w:szCs w:val="24"/>
    </w:rPr>
  </w:style>
  <w:style w:type="character" w:styleId="SubtleEmphasis">
    <w:name w:val="Subtle Emphasis"/>
    <w:uiPriority w:val="19"/>
    <w:qFormat/>
    <w:rsid w:val="009B6E29"/>
    <w:rPr>
      <w:i/>
      <w:iCs/>
      <w:color w:val="1F4D78" w:themeColor="accent1" w:themeShade="7F"/>
    </w:rPr>
  </w:style>
  <w:style w:type="character" w:styleId="IntenseEmphasis">
    <w:name w:val="Intense Emphasis"/>
    <w:uiPriority w:val="21"/>
    <w:qFormat/>
    <w:rsid w:val="009B6E29"/>
    <w:rPr>
      <w:b/>
      <w:bCs/>
      <w:caps/>
      <w:color w:val="1F4D78" w:themeColor="accent1" w:themeShade="7F"/>
      <w:spacing w:val="10"/>
    </w:rPr>
  </w:style>
  <w:style w:type="character" w:styleId="SubtleReference">
    <w:name w:val="Subtle Reference"/>
    <w:uiPriority w:val="31"/>
    <w:qFormat/>
    <w:rsid w:val="009B6E29"/>
    <w:rPr>
      <w:b/>
      <w:bCs/>
      <w:color w:val="5B9BD5" w:themeColor="accent1"/>
    </w:rPr>
  </w:style>
  <w:style w:type="character" w:styleId="IntenseReference">
    <w:name w:val="Intense Reference"/>
    <w:uiPriority w:val="32"/>
    <w:qFormat/>
    <w:rsid w:val="009B6E29"/>
    <w:rPr>
      <w:b/>
      <w:bCs/>
      <w:i/>
      <w:iCs/>
      <w:caps/>
      <w:color w:val="5B9BD5" w:themeColor="accent1"/>
    </w:rPr>
  </w:style>
  <w:style w:type="character" w:styleId="BookTitle">
    <w:name w:val="Book Title"/>
    <w:uiPriority w:val="33"/>
    <w:qFormat/>
    <w:rsid w:val="009B6E29"/>
    <w:rPr>
      <w:b/>
      <w:bCs/>
      <w:i/>
      <w:iCs/>
      <w:spacing w:val="0"/>
    </w:rPr>
  </w:style>
  <w:style w:type="paragraph" w:styleId="TOCHeading">
    <w:name w:val="TOC Heading"/>
    <w:basedOn w:val="Heading1"/>
    <w:next w:val="Normal"/>
    <w:uiPriority w:val="39"/>
    <w:semiHidden/>
    <w:unhideWhenUsed/>
    <w:qFormat/>
    <w:rsid w:val="009B6E29"/>
    <w:pPr>
      <w:outlineLvl w:val="9"/>
    </w:pPr>
  </w:style>
  <w:style w:type="paragraph" w:styleId="ListParagraph">
    <w:name w:val="List Paragraph"/>
    <w:basedOn w:val="Normal"/>
    <w:uiPriority w:val="34"/>
    <w:qFormat/>
    <w:rsid w:val="009B6E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70198">
      <w:bodyDiv w:val="1"/>
      <w:marLeft w:val="0"/>
      <w:marRight w:val="0"/>
      <w:marTop w:val="0"/>
      <w:marBottom w:val="0"/>
      <w:divBdr>
        <w:top w:val="none" w:sz="0" w:space="0" w:color="auto"/>
        <w:left w:val="none" w:sz="0" w:space="0" w:color="auto"/>
        <w:bottom w:val="none" w:sz="0" w:space="0" w:color="auto"/>
        <w:right w:val="none" w:sz="0" w:space="0" w:color="auto"/>
      </w:divBdr>
      <w:divsChild>
        <w:div w:id="1703822791">
          <w:marLeft w:val="-225"/>
          <w:marRight w:val="-225"/>
          <w:marTop w:val="0"/>
          <w:marBottom w:val="0"/>
          <w:divBdr>
            <w:top w:val="single" w:sz="6" w:space="0" w:color="DDDDDD"/>
            <w:left w:val="single" w:sz="6" w:space="0" w:color="DDDDDD"/>
            <w:bottom w:val="single" w:sz="6" w:space="0" w:color="DDDDDD"/>
            <w:right w:val="single" w:sz="6" w:space="0" w:color="DDDDDD"/>
          </w:divBdr>
          <w:divsChild>
            <w:div w:id="1154220118">
              <w:marLeft w:val="0"/>
              <w:marRight w:val="0"/>
              <w:marTop w:val="0"/>
              <w:marBottom w:val="0"/>
              <w:divBdr>
                <w:top w:val="none" w:sz="0" w:space="0" w:color="auto"/>
                <w:left w:val="none" w:sz="0" w:space="0" w:color="auto"/>
                <w:bottom w:val="none" w:sz="0" w:space="0" w:color="auto"/>
                <w:right w:val="none" w:sz="0" w:space="0" w:color="auto"/>
              </w:divBdr>
            </w:div>
          </w:divsChild>
        </w:div>
        <w:div w:id="2057387735">
          <w:marLeft w:val="-225"/>
          <w:marRight w:val="-225"/>
          <w:marTop w:val="0"/>
          <w:marBottom w:val="0"/>
          <w:divBdr>
            <w:top w:val="single" w:sz="6" w:space="0" w:color="DDDDDD"/>
            <w:left w:val="single" w:sz="6" w:space="0" w:color="DDDDDD"/>
            <w:bottom w:val="single" w:sz="6" w:space="0" w:color="DDDDDD"/>
            <w:right w:val="single" w:sz="6" w:space="0" w:color="DDDDDD"/>
          </w:divBdr>
          <w:divsChild>
            <w:div w:id="268467759">
              <w:marLeft w:val="0"/>
              <w:marRight w:val="0"/>
              <w:marTop w:val="0"/>
              <w:marBottom w:val="0"/>
              <w:divBdr>
                <w:top w:val="none" w:sz="0" w:space="0" w:color="auto"/>
                <w:left w:val="none" w:sz="0" w:space="0" w:color="auto"/>
                <w:bottom w:val="none" w:sz="0" w:space="0" w:color="auto"/>
                <w:right w:val="none" w:sz="0" w:space="0" w:color="auto"/>
              </w:divBdr>
            </w:div>
          </w:divsChild>
        </w:div>
        <w:div w:id="456800780">
          <w:marLeft w:val="-225"/>
          <w:marRight w:val="-225"/>
          <w:marTop w:val="0"/>
          <w:marBottom w:val="0"/>
          <w:divBdr>
            <w:top w:val="none" w:sz="0" w:space="0" w:color="auto"/>
            <w:left w:val="none" w:sz="0" w:space="0" w:color="auto"/>
            <w:bottom w:val="none" w:sz="0" w:space="0" w:color="auto"/>
            <w:right w:val="none" w:sz="0" w:space="0" w:color="auto"/>
          </w:divBdr>
          <w:divsChild>
            <w:div w:id="1452440115">
              <w:marLeft w:val="0"/>
              <w:marRight w:val="0"/>
              <w:marTop w:val="0"/>
              <w:marBottom w:val="0"/>
              <w:divBdr>
                <w:top w:val="none" w:sz="0" w:space="0" w:color="auto"/>
                <w:left w:val="none" w:sz="0" w:space="0" w:color="auto"/>
                <w:bottom w:val="none" w:sz="0" w:space="0" w:color="auto"/>
                <w:right w:val="none" w:sz="0" w:space="0" w:color="auto"/>
              </w:divBdr>
              <w:divsChild>
                <w:div w:id="1877083722">
                  <w:marLeft w:val="0"/>
                  <w:marRight w:val="0"/>
                  <w:marTop w:val="0"/>
                  <w:marBottom w:val="300"/>
                  <w:divBdr>
                    <w:top w:val="single" w:sz="6" w:space="0" w:color="DDDDDD"/>
                    <w:left w:val="single" w:sz="6" w:space="0" w:color="DDDDDD"/>
                    <w:bottom w:val="single" w:sz="6" w:space="0" w:color="DDDDDD"/>
                    <w:right w:val="single" w:sz="6" w:space="0" w:color="DDDDDD"/>
                  </w:divBdr>
                  <w:divsChild>
                    <w:div w:id="1269972387">
                      <w:marLeft w:val="0"/>
                      <w:marRight w:val="0"/>
                      <w:marTop w:val="0"/>
                      <w:marBottom w:val="0"/>
                      <w:divBdr>
                        <w:top w:val="none" w:sz="0" w:space="8" w:color="DDDDDD"/>
                        <w:left w:val="none" w:sz="0" w:space="11" w:color="DDDDDD"/>
                        <w:bottom w:val="single" w:sz="6" w:space="8" w:color="DDDDDD"/>
                        <w:right w:val="none" w:sz="0" w:space="11" w:color="DDDDDD"/>
                      </w:divBdr>
                    </w:div>
                    <w:div w:id="109793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3203">
              <w:marLeft w:val="0"/>
              <w:marRight w:val="0"/>
              <w:marTop w:val="0"/>
              <w:marBottom w:val="0"/>
              <w:divBdr>
                <w:top w:val="none" w:sz="0" w:space="0" w:color="auto"/>
                <w:left w:val="none" w:sz="0" w:space="0" w:color="auto"/>
                <w:bottom w:val="none" w:sz="0" w:space="0" w:color="auto"/>
                <w:right w:val="none" w:sz="0" w:space="0" w:color="auto"/>
              </w:divBdr>
              <w:divsChild>
                <w:div w:id="53554127">
                  <w:marLeft w:val="0"/>
                  <w:marRight w:val="0"/>
                  <w:marTop w:val="0"/>
                  <w:marBottom w:val="300"/>
                  <w:divBdr>
                    <w:top w:val="single" w:sz="6" w:space="0" w:color="DDDDDD"/>
                    <w:left w:val="single" w:sz="6" w:space="0" w:color="DDDDDD"/>
                    <w:bottom w:val="single" w:sz="6" w:space="0" w:color="DDDDDD"/>
                    <w:right w:val="single" w:sz="6" w:space="0" w:color="DDDDDD"/>
                  </w:divBdr>
                  <w:divsChild>
                    <w:div w:id="577597155">
                      <w:marLeft w:val="0"/>
                      <w:marRight w:val="0"/>
                      <w:marTop w:val="0"/>
                      <w:marBottom w:val="0"/>
                      <w:divBdr>
                        <w:top w:val="none" w:sz="0" w:space="8" w:color="DDDDDD"/>
                        <w:left w:val="none" w:sz="0" w:space="11" w:color="DDDDDD"/>
                        <w:bottom w:val="single" w:sz="6" w:space="8" w:color="DDDDDD"/>
                        <w:right w:val="none" w:sz="0" w:space="11" w:color="DDDDDD"/>
                      </w:divBdr>
                    </w:div>
                    <w:div w:id="37061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4829">
              <w:marLeft w:val="0"/>
              <w:marRight w:val="0"/>
              <w:marTop w:val="0"/>
              <w:marBottom w:val="0"/>
              <w:divBdr>
                <w:top w:val="none" w:sz="0" w:space="0" w:color="auto"/>
                <w:left w:val="none" w:sz="0" w:space="0" w:color="auto"/>
                <w:bottom w:val="none" w:sz="0" w:space="0" w:color="auto"/>
                <w:right w:val="none" w:sz="0" w:space="0" w:color="auto"/>
              </w:divBdr>
              <w:divsChild>
                <w:div w:id="210657020">
                  <w:marLeft w:val="0"/>
                  <w:marRight w:val="0"/>
                  <w:marTop w:val="0"/>
                  <w:marBottom w:val="300"/>
                  <w:divBdr>
                    <w:top w:val="single" w:sz="6" w:space="0" w:color="DDDDDD"/>
                    <w:left w:val="single" w:sz="6" w:space="0" w:color="DDDDDD"/>
                    <w:bottom w:val="single" w:sz="6" w:space="0" w:color="DDDDDD"/>
                    <w:right w:val="single" w:sz="6" w:space="0" w:color="DDDDDD"/>
                  </w:divBdr>
                  <w:divsChild>
                    <w:div w:id="2119829687">
                      <w:marLeft w:val="0"/>
                      <w:marRight w:val="0"/>
                      <w:marTop w:val="0"/>
                      <w:marBottom w:val="0"/>
                      <w:divBdr>
                        <w:top w:val="none" w:sz="0" w:space="8" w:color="DDDDDD"/>
                        <w:left w:val="none" w:sz="0" w:space="11" w:color="DDDDDD"/>
                        <w:bottom w:val="single" w:sz="6" w:space="8" w:color="DDDDDD"/>
                        <w:right w:val="none" w:sz="0" w:space="11" w:color="DDDDDD"/>
                      </w:divBdr>
                    </w:div>
                    <w:div w:id="172413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22566">
              <w:marLeft w:val="0"/>
              <w:marRight w:val="0"/>
              <w:marTop w:val="0"/>
              <w:marBottom w:val="0"/>
              <w:divBdr>
                <w:top w:val="none" w:sz="0" w:space="0" w:color="auto"/>
                <w:left w:val="none" w:sz="0" w:space="0" w:color="auto"/>
                <w:bottom w:val="none" w:sz="0" w:space="0" w:color="auto"/>
                <w:right w:val="none" w:sz="0" w:space="0" w:color="auto"/>
              </w:divBdr>
              <w:divsChild>
                <w:div w:id="1904945007">
                  <w:marLeft w:val="0"/>
                  <w:marRight w:val="0"/>
                  <w:marTop w:val="0"/>
                  <w:marBottom w:val="300"/>
                  <w:divBdr>
                    <w:top w:val="single" w:sz="6" w:space="0" w:color="DDDDDD"/>
                    <w:left w:val="single" w:sz="6" w:space="0" w:color="DDDDDD"/>
                    <w:bottom w:val="single" w:sz="6" w:space="0" w:color="DDDDDD"/>
                    <w:right w:val="single" w:sz="6" w:space="0" w:color="DDDDDD"/>
                  </w:divBdr>
                  <w:divsChild>
                    <w:div w:id="801575580">
                      <w:marLeft w:val="0"/>
                      <w:marRight w:val="0"/>
                      <w:marTop w:val="0"/>
                      <w:marBottom w:val="0"/>
                      <w:divBdr>
                        <w:top w:val="none" w:sz="0" w:space="8" w:color="DDDDDD"/>
                        <w:left w:val="none" w:sz="0" w:space="11" w:color="DDDDDD"/>
                        <w:bottom w:val="single" w:sz="6" w:space="8" w:color="DDDDDD"/>
                        <w:right w:val="none" w:sz="0" w:space="11" w:color="DDDDDD"/>
                      </w:divBdr>
                    </w:div>
                    <w:div w:id="196195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37917">
              <w:marLeft w:val="0"/>
              <w:marRight w:val="0"/>
              <w:marTop w:val="0"/>
              <w:marBottom w:val="0"/>
              <w:divBdr>
                <w:top w:val="none" w:sz="0" w:space="0" w:color="auto"/>
                <w:left w:val="none" w:sz="0" w:space="0" w:color="auto"/>
                <w:bottom w:val="none" w:sz="0" w:space="0" w:color="auto"/>
                <w:right w:val="none" w:sz="0" w:space="0" w:color="auto"/>
              </w:divBdr>
              <w:divsChild>
                <w:div w:id="1025207627">
                  <w:marLeft w:val="0"/>
                  <w:marRight w:val="0"/>
                  <w:marTop w:val="0"/>
                  <w:marBottom w:val="300"/>
                  <w:divBdr>
                    <w:top w:val="single" w:sz="6" w:space="0" w:color="DDDDDD"/>
                    <w:left w:val="single" w:sz="6" w:space="0" w:color="DDDDDD"/>
                    <w:bottom w:val="single" w:sz="6" w:space="0" w:color="DDDDDD"/>
                    <w:right w:val="single" w:sz="6" w:space="0" w:color="DDDDDD"/>
                  </w:divBdr>
                  <w:divsChild>
                    <w:div w:id="935870198">
                      <w:marLeft w:val="0"/>
                      <w:marRight w:val="0"/>
                      <w:marTop w:val="0"/>
                      <w:marBottom w:val="0"/>
                      <w:divBdr>
                        <w:top w:val="none" w:sz="0" w:space="8" w:color="DDDDDD"/>
                        <w:left w:val="none" w:sz="0" w:space="11" w:color="DDDDDD"/>
                        <w:bottom w:val="single" w:sz="6" w:space="8" w:color="DDDDDD"/>
                        <w:right w:val="none" w:sz="0" w:space="11" w:color="DDDDDD"/>
                      </w:divBdr>
                    </w:div>
                    <w:div w:id="209663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68584">
              <w:marLeft w:val="0"/>
              <w:marRight w:val="0"/>
              <w:marTop w:val="0"/>
              <w:marBottom w:val="0"/>
              <w:divBdr>
                <w:top w:val="none" w:sz="0" w:space="0" w:color="auto"/>
                <w:left w:val="none" w:sz="0" w:space="0" w:color="auto"/>
                <w:bottom w:val="none" w:sz="0" w:space="0" w:color="auto"/>
                <w:right w:val="none" w:sz="0" w:space="0" w:color="auto"/>
              </w:divBdr>
              <w:divsChild>
                <w:div w:id="717121068">
                  <w:marLeft w:val="0"/>
                  <w:marRight w:val="0"/>
                  <w:marTop w:val="0"/>
                  <w:marBottom w:val="300"/>
                  <w:divBdr>
                    <w:top w:val="single" w:sz="6" w:space="0" w:color="DDDDDD"/>
                    <w:left w:val="single" w:sz="6" w:space="0" w:color="DDDDDD"/>
                    <w:bottom w:val="single" w:sz="6" w:space="0" w:color="DDDDDD"/>
                    <w:right w:val="single" w:sz="6" w:space="0" w:color="DDDDDD"/>
                  </w:divBdr>
                  <w:divsChild>
                    <w:div w:id="1937211009">
                      <w:marLeft w:val="0"/>
                      <w:marRight w:val="0"/>
                      <w:marTop w:val="0"/>
                      <w:marBottom w:val="0"/>
                      <w:divBdr>
                        <w:top w:val="none" w:sz="0" w:space="8" w:color="DDDDDD"/>
                        <w:left w:val="none" w:sz="0" w:space="11" w:color="DDDDDD"/>
                        <w:bottom w:val="single" w:sz="6" w:space="8" w:color="DDDDDD"/>
                        <w:right w:val="none" w:sz="0" w:space="11" w:color="DDDDDD"/>
                      </w:divBdr>
                    </w:div>
                    <w:div w:id="92210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369765">
          <w:marLeft w:val="-225"/>
          <w:marRight w:val="-225"/>
          <w:marTop w:val="0"/>
          <w:marBottom w:val="0"/>
          <w:divBdr>
            <w:top w:val="none" w:sz="0" w:space="0" w:color="auto"/>
            <w:left w:val="none" w:sz="0" w:space="0" w:color="auto"/>
            <w:bottom w:val="none" w:sz="0" w:space="0" w:color="auto"/>
            <w:right w:val="none" w:sz="0" w:space="0" w:color="auto"/>
          </w:divBdr>
          <w:divsChild>
            <w:div w:id="1976908968">
              <w:marLeft w:val="0"/>
              <w:marRight w:val="0"/>
              <w:marTop w:val="0"/>
              <w:marBottom w:val="0"/>
              <w:divBdr>
                <w:top w:val="none" w:sz="0" w:space="0" w:color="auto"/>
                <w:left w:val="none" w:sz="0" w:space="0" w:color="auto"/>
                <w:bottom w:val="none" w:sz="0" w:space="0" w:color="auto"/>
                <w:right w:val="none" w:sz="0" w:space="0" w:color="auto"/>
              </w:divBdr>
              <w:divsChild>
                <w:div w:id="1849176327">
                  <w:marLeft w:val="0"/>
                  <w:marRight w:val="0"/>
                  <w:marTop w:val="0"/>
                  <w:marBottom w:val="300"/>
                  <w:divBdr>
                    <w:top w:val="single" w:sz="6" w:space="0" w:color="DDDDDD"/>
                    <w:left w:val="single" w:sz="6" w:space="0" w:color="DDDDDD"/>
                    <w:bottom w:val="single" w:sz="6" w:space="0" w:color="DDDDDD"/>
                    <w:right w:val="single" w:sz="6" w:space="0" w:color="DDDDDD"/>
                  </w:divBdr>
                  <w:divsChild>
                    <w:div w:id="1925262137">
                      <w:marLeft w:val="0"/>
                      <w:marRight w:val="0"/>
                      <w:marTop w:val="0"/>
                      <w:marBottom w:val="0"/>
                      <w:divBdr>
                        <w:top w:val="none" w:sz="0" w:space="8" w:color="DDDDDD"/>
                        <w:left w:val="none" w:sz="0" w:space="11" w:color="DDDDDD"/>
                        <w:bottom w:val="single" w:sz="6" w:space="8" w:color="DDDDDD"/>
                        <w:right w:val="none" w:sz="0" w:space="11" w:color="DDDDDD"/>
                      </w:divBdr>
                    </w:div>
                    <w:div w:id="113537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59967">
              <w:marLeft w:val="0"/>
              <w:marRight w:val="0"/>
              <w:marTop w:val="0"/>
              <w:marBottom w:val="0"/>
              <w:divBdr>
                <w:top w:val="none" w:sz="0" w:space="0" w:color="auto"/>
                <w:left w:val="none" w:sz="0" w:space="0" w:color="auto"/>
                <w:bottom w:val="none" w:sz="0" w:space="0" w:color="auto"/>
                <w:right w:val="none" w:sz="0" w:space="0" w:color="auto"/>
              </w:divBdr>
              <w:divsChild>
                <w:div w:id="2096392657">
                  <w:marLeft w:val="0"/>
                  <w:marRight w:val="0"/>
                  <w:marTop w:val="0"/>
                  <w:marBottom w:val="300"/>
                  <w:divBdr>
                    <w:top w:val="single" w:sz="6" w:space="0" w:color="DDDDDD"/>
                    <w:left w:val="single" w:sz="6" w:space="0" w:color="DDDDDD"/>
                    <w:bottom w:val="single" w:sz="6" w:space="0" w:color="DDDDDD"/>
                    <w:right w:val="single" w:sz="6" w:space="0" w:color="DDDDDD"/>
                  </w:divBdr>
                  <w:divsChild>
                    <w:div w:id="386879503">
                      <w:marLeft w:val="0"/>
                      <w:marRight w:val="0"/>
                      <w:marTop w:val="0"/>
                      <w:marBottom w:val="0"/>
                      <w:divBdr>
                        <w:top w:val="none" w:sz="0" w:space="8" w:color="DDDDDD"/>
                        <w:left w:val="none" w:sz="0" w:space="11" w:color="DDDDDD"/>
                        <w:bottom w:val="single" w:sz="6" w:space="8" w:color="DDDDDD"/>
                        <w:right w:val="none" w:sz="0" w:space="11" w:color="DDDDDD"/>
                      </w:divBdr>
                    </w:div>
                    <w:div w:id="159982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798100">
          <w:marLeft w:val="-225"/>
          <w:marRight w:val="-225"/>
          <w:marTop w:val="0"/>
          <w:marBottom w:val="0"/>
          <w:divBdr>
            <w:top w:val="single" w:sz="6" w:space="0" w:color="DDDDDD"/>
            <w:left w:val="single" w:sz="6" w:space="0" w:color="DDDDDD"/>
            <w:bottom w:val="single" w:sz="6" w:space="0" w:color="DDDDDD"/>
            <w:right w:val="single" w:sz="6" w:space="0" w:color="DDDDDD"/>
          </w:divBdr>
          <w:divsChild>
            <w:div w:id="2012828629">
              <w:marLeft w:val="0"/>
              <w:marRight w:val="0"/>
              <w:marTop w:val="0"/>
              <w:marBottom w:val="0"/>
              <w:divBdr>
                <w:top w:val="none" w:sz="0" w:space="0" w:color="auto"/>
                <w:left w:val="none" w:sz="0" w:space="0" w:color="auto"/>
                <w:bottom w:val="none" w:sz="0" w:space="0" w:color="auto"/>
                <w:right w:val="none" w:sz="0" w:space="0" w:color="auto"/>
              </w:divBdr>
            </w:div>
          </w:divsChild>
        </w:div>
        <w:div w:id="1795561511">
          <w:marLeft w:val="-225"/>
          <w:marRight w:val="-225"/>
          <w:marTop w:val="0"/>
          <w:marBottom w:val="0"/>
          <w:divBdr>
            <w:top w:val="none" w:sz="0" w:space="0" w:color="auto"/>
            <w:left w:val="none" w:sz="0" w:space="0" w:color="auto"/>
            <w:bottom w:val="none" w:sz="0" w:space="0" w:color="auto"/>
            <w:right w:val="none" w:sz="0" w:space="0" w:color="auto"/>
          </w:divBdr>
          <w:divsChild>
            <w:div w:id="1623733936">
              <w:marLeft w:val="0"/>
              <w:marRight w:val="0"/>
              <w:marTop w:val="0"/>
              <w:marBottom w:val="0"/>
              <w:divBdr>
                <w:top w:val="none" w:sz="0" w:space="0" w:color="auto"/>
                <w:left w:val="none" w:sz="0" w:space="0" w:color="auto"/>
                <w:bottom w:val="none" w:sz="0" w:space="0" w:color="auto"/>
                <w:right w:val="none" w:sz="0" w:space="0" w:color="auto"/>
              </w:divBdr>
              <w:divsChild>
                <w:div w:id="2102724381">
                  <w:marLeft w:val="0"/>
                  <w:marRight w:val="0"/>
                  <w:marTop w:val="0"/>
                  <w:marBottom w:val="300"/>
                  <w:divBdr>
                    <w:top w:val="single" w:sz="6" w:space="0" w:color="DDDDDD"/>
                    <w:left w:val="single" w:sz="6" w:space="0" w:color="DDDDDD"/>
                    <w:bottom w:val="single" w:sz="6" w:space="0" w:color="DDDDDD"/>
                    <w:right w:val="single" w:sz="6" w:space="0" w:color="DDDDDD"/>
                  </w:divBdr>
                  <w:divsChild>
                    <w:div w:id="1936864400">
                      <w:marLeft w:val="0"/>
                      <w:marRight w:val="0"/>
                      <w:marTop w:val="0"/>
                      <w:marBottom w:val="0"/>
                      <w:divBdr>
                        <w:top w:val="none" w:sz="0" w:space="8" w:color="DDDDDD"/>
                        <w:left w:val="none" w:sz="0" w:space="11" w:color="DDDDDD"/>
                        <w:bottom w:val="single" w:sz="6" w:space="8" w:color="DDDDDD"/>
                        <w:right w:val="none" w:sz="0" w:space="11" w:color="DDDDDD"/>
                      </w:divBdr>
                    </w:div>
                    <w:div w:id="48492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73937">
              <w:marLeft w:val="0"/>
              <w:marRight w:val="0"/>
              <w:marTop w:val="0"/>
              <w:marBottom w:val="0"/>
              <w:divBdr>
                <w:top w:val="none" w:sz="0" w:space="0" w:color="auto"/>
                <w:left w:val="none" w:sz="0" w:space="0" w:color="auto"/>
                <w:bottom w:val="none" w:sz="0" w:space="0" w:color="auto"/>
                <w:right w:val="none" w:sz="0" w:space="0" w:color="auto"/>
              </w:divBdr>
              <w:divsChild>
                <w:div w:id="1348632098">
                  <w:marLeft w:val="0"/>
                  <w:marRight w:val="0"/>
                  <w:marTop w:val="0"/>
                  <w:marBottom w:val="300"/>
                  <w:divBdr>
                    <w:top w:val="single" w:sz="6" w:space="0" w:color="DDDDDD"/>
                    <w:left w:val="single" w:sz="6" w:space="0" w:color="DDDDDD"/>
                    <w:bottom w:val="single" w:sz="6" w:space="0" w:color="DDDDDD"/>
                    <w:right w:val="single" w:sz="6" w:space="0" w:color="DDDDDD"/>
                  </w:divBdr>
                  <w:divsChild>
                    <w:div w:id="543830324">
                      <w:marLeft w:val="0"/>
                      <w:marRight w:val="0"/>
                      <w:marTop w:val="0"/>
                      <w:marBottom w:val="0"/>
                      <w:divBdr>
                        <w:top w:val="none" w:sz="0" w:space="8" w:color="DDDDDD"/>
                        <w:left w:val="none" w:sz="0" w:space="11" w:color="DDDDDD"/>
                        <w:bottom w:val="single" w:sz="6" w:space="8" w:color="DDDDDD"/>
                        <w:right w:val="none" w:sz="0" w:space="11" w:color="DDDDDD"/>
                      </w:divBdr>
                    </w:div>
                    <w:div w:id="60492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119627">
              <w:marLeft w:val="0"/>
              <w:marRight w:val="0"/>
              <w:marTop w:val="0"/>
              <w:marBottom w:val="0"/>
              <w:divBdr>
                <w:top w:val="none" w:sz="0" w:space="0" w:color="auto"/>
                <w:left w:val="none" w:sz="0" w:space="0" w:color="auto"/>
                <w:bottom w:val="none" w:sz="0" w:space="0" w:color="auto"/>
                <w:right w:val="none" w:sz="0" w:space="0" w:color="auto"/>
              </w:divBdr>
              <w:divsChild>
                <w:div w:id="173999921">
                  <w:marLeft w:val="0"/>
                  <w:marRight w:val="0"/>
                  <w:marTop w:val="0"/>
                  <w:marBottom w:val="300"/>
                  <w:divBdr>
                    <w:top w:val="single" w:sz="6" w:space="0" w:color="DDDDDD"/>
                    <w:left w:val="single" w:sz="6" w:space="0" w:color="DDDDDD"/>
                    <w:bottom w:val="single" w:sz="6" w:space="0" w:color="DDDDDD"/>
                    <w:right w:val="single" w:sz="6" w:space="0" w:color="DDDDDD"/>
                  </w:divBdr>
                  <w:divsChild>
                    <w:div w:id="414323343">
                      <w:marLeft w:val="0"/>
                      <w:marRight w:val="0"/>
                      <w:marTop w:val="0"/>
                      <w:marBottom w:val="0"/>
                      <w:divBdr>
                        <w:top w:val="none" w:sz="0" w:space="8" w:color="DDDDDD"/>
                        <w:left w:val="none" w:sz="0" w:space="11" w:color="DDDDDD"/>
                        <w:bottom w:val="single" w:sz="6" w:space="8" w:color="DDDDDD"/>
                        <w:right w:val="none" w:sz="0" w:space="11" w:color="DDDDDD"/>
                      </w:divBdr>
                    </w:div>
                    <w:div w:id="3967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432886">
              <w:marLeft w:val="0"/>
              <w:marRight w:val="0"/>
              <w:marTop w:val="0"/>
              <w:marBottom w:val="0"/>
              <w:divBdr>
                <w:top w:val="none" w:sz="0" w:space="0" w:color="auto"/>
                <w:left w:val="none" w:sz="0" w:space="0" w:color="auto"/>
                <w:bottom w:val="none" w:sz="0" w:space="0" w:color="auto"/>
                <w:right w:val="none" w:sz="0" w:space="0" w:color="auto"/>
              </w:divBdr>
              <w:divsChild>
                <w:div w:id="1765877472">
                  <w:marLeft w:val="0"/>
                  <w:marRight w:val="0"/>
                  <w:marTop w:val="0"/>
                  <w:marBottom w:val="300"/>
                  <w:divBdr>
                    <w:top w:val="single" w:sz="6" w:space="0" w:color="DDDDDD"/>
                    <w:left w:val="single" w:sz="6" w:space="0" w:color="DDDDDD"/>
                    <w:bottom w:val="single" w:sz="6" w:space="0" w:color="DDDDDD"/>
                    <w:right w:val="single" w:sz="6" w:space="0" w:color="DDDDDD"/>
                  </w:divBdr>
                  <w:divsChild>
                    <w:div w:id="2090540663">
                      <w:marLeft w:val="0"/>
                      <w:marRight w:val="0"/>
                      <w:marTop w:val="0"/>
                      <w:marBottom w:val="0"/>
                      <w:divBdr>
                        <w:top w:val="none" w:sz="0" w:space="8" w:color="DDDDDD"/>
                        <w:left w:val="none" w:sz="0" w:space="11" w:color="DDDDDD"/>
                        <w:bottom w:val="single" w:sz="6" w:space="8" w:color="DDDDDD"/>
                        <w:right w:val="none" w:sz="0" w:space="11" w:color="DDDDDD"/>
                      </w:divBdr>
                    </w:div>
                    <w:div w:id="157905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15150">
              <w:marLeft w:val="0"/>
              <w:marRight w:val="0"/>
              <w:marTop w:val="0"/>
              <w:marBottom w:val="0"/>
              <w:divBdr>
                <w:top w:val="none" w:sz="0" w:space="0" w:color="auto"/>
                <w:left w:val="none" w:sz="0" w:space="0" w:color="auto"/>
                <w:bottom w:val="none" w:sz="0" w:space="0" w:color="auto"/>
                <w:right w:val="none" w:sz="0" w:space="0" w:color="auto"/>
              </w:divBdr>
              <w:divsChild>
                <w:div w:id="269513352">
                  <w:marLeft w:val="0"/>
                  <w:marRight w:val="0"/>
                  <w:marTop w:val="0"/>
                  <w:marBottom w:val="300"/>
                  <w:divBdr>
                    <w:top w:val="single" w:sz="6" w:space="0" w:color="DDDDDD"/>
                    <w:left w:val="single" w:sz="6" w:space="0" w:color="DDDDDD"/>
                    <w:bottom w:val="single" w:sz="6" w:space="0" w:color="DDDDDD"/>
                    <w:right w:val="single" w:sz="6" w:space="0" w:color="DDDDDD"/>
                  </w:divBdr>
                  <w:divsChild>
                    <w:div w:id="977108433">
                      <w:marLeft w:val="0"/>
                      <w:marRight w:val="0"/>
                      <w:marTop w:val="0"/>
                      <w:marBottom w:val="0"/>
                      <w:divBdr>
                        <w:top w:val="none" w:sz="0" w:space="8" w:color="DDDDDD"/>
                        <w:left w:val="none" w:sz="0" w:space="11" w:color="DDDDDD"/>
                        <w:bottom w:val="single" w:sz="6" w:space="8" w:color="DDDDDD"/>
                        <w:right w:val="none" w:sz="0" w:space="11" w:color="DDDDDD"/>
                      </w:divBdr>
                    </w:div>
                    <w:div w:id="191361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738905">
              <w:marLeft w:val="0"/>
              <w:marRight w:val="0"/>
              <w:marTop w:val="0"/>
              <w:marBottom w:val="0"/>
              <w:divBdr>
                <w:top w:val="none" w:sz="0" w:space="0" w:color="auto"/>
                <w:left w:val="none" w:sz="0" w:space="0" w:color="auto"/>
                <w:bottom w:val="none" w:sz="0" w:space="0" w:color="auto"/>
                <w:right w:val="none" w:sz="0" w:space="0" w:color="auto"/>
              </w:divBdr>
              <w:divsChild>
                <w:div w:id="879249095">
                  <w:marLeft w:val="0"/>
                  <w:marRight w:val="0"/>
                  <w:marTop w:val="0"/>
                  <w:marBottom w:val="300"/>
                  <w:divBdr>
                    <w:top w:val="single" w:sz="6" w:space="0" w:color="DDDDDD"/>
                    <w:left w:val="single" w:sz="6" w:space="0" w:color="DDDDDD"/>
                    <w:bottom w:val="single" w:sz="6" w:space="0" w:color="DDDDDD"/>
                    <w:right w:val="single" w:sz="6" w:space="0" w:color="DDDDDD"/>
                  </w:divBdr>
                  <w:divsChild>
                    <w:div w:id="27142870">
                      <w:marLeft w:val="0"/>
                      <w:marRight w:val="0"/>
                      <w:marTop w:val="0"/>
                      <w:marBottom w:val="0"/>
                      <w:divBdr>
                        <w:top w:val="none" w:sz="0" w:space="8" w:color="DDDDDD"/>
                        <w:left w:val="none" w:sz="0" w:space="11" w:color="DDDDDD"/>
                        <w:bottom w:val="single" w:sz="6" w:space="8" w:color="DDDDDD"/>
                        <w:right w:val="none" w:sz="0" w:space="11" w:color="DDDDDD"/>
                      </w:divBdr>
                    </w:div>
                    <w:div w:id="148774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993796">
          <w:marLeft w:val="-225"/>
          <w:marRight w:val="-225"/>
          <w:marTop w:val="0"/>
          <w:marBottom w:val="0"/>
          <w:divBdr>
            <w:top w:val="none" w:sz="0" w:space="0" w:color="auto"/>
            <w:left w:val="none" w:sz="0" w:space="0" w:color="auto"/>
            <w:bottom w:val="none" w:sz="0" w:space="0" w:color="auto"/>
            <w:right w:val="none" w:sz="0" w:space="0" w:color="auto"/>
          </w:divBdr>
          <w:divsChild>
            <w:div w:id="862786675">
              <w:marLeft w:val="0"/>
              <w:marRight w:val="0"/>
              <w:marTop w:val="0"/>
              <w:marBottom w:val="0"/>
              <w:divBdr>
                <w:top w:val="none" w:sz="0" w:space="0" w:color="auto"/>
                <w:left w:val="none" w:sz="0" w:space="0" w:color="auto"/>
                <w:bottom w:val="none" w:sz="0" w:space="0" w:color="auto"/>
                <w:right w:val="none" w:sz="0" w:space="0" w:color="auto"/>
              </w:divBdr>
              <w:divsChild>
                <w:div w:id="1460492382">
                  <w:marLeft w:val="0"/>
                  <w:marRight w:val="0"/>
                  <w:marTop w:val="0"/>
                  <w:marBottom w:val="300"/>
                  <w:divBdr>
                    <w:top w:val="single" w:sz="6" w:space="0" w:color="DDDDDD"/>
                    <w:left w:val="single" w:sz="6" w:space="0" w:color="DDDDDD"/>
                    <w:bottom w:val="single" w:sz="6" w:space="0" w:color="DDDDDD"/>
                    <w:right w:val="single" w:sz="6" w:space="0" w:color="DDDDDD"/>
                  </w:divBdr>
                  <w:divsChild>
                    <w:div w:id="796069431">
                      <w:marLeft w:val="0"/>
                      <w:marRight w:val="0"/>
                      <w:marTop w:val="0"/>
                      <w:marBottom w:val="0"/>
                      <w:divBdr>
                        <w:top w:val="none" w:sz="0" w:space="8" w:color="DDDDDD"/>
                        <w:left w:val="none" w:sz="0" w:space="11" w:color="DDDDDD"/>
                        <w:bottom w:val="single" w:sz="6" w:space="8" w:color="DDDDDD"/>
                        <w:right w:val="none" w:sz="0" w:space="11" w:color="DDDDDD"/>
                      </w:divBdr>
                    </w:div>
                    <w:div w:id="168443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467233">
              <w:marLeft w:val="0"/>
              <w:marRight w:val="0"/>
              <w:marTop w:val="0"/>
              <w:marBottom w:val="0"/>
              <w:divBdr>
                <w:top w:val="none" w:sz="0" w:space="0" w:color="auto"/>
                <w:left w:val="none" w:sz="0" w:space="0" w:color="auto"/>
                <w:bottom w:val="none" w:sz="0" w:space="0" w:color="auto"/>
                <w:right w:val="none" w:sz="0" w:space="0" w:color="auto"/>
              </w:divBdr>
              <w:divsChild>
                <w:div w:id="844978656">
                  <w:marLeft w:val="0"/>
                  <w:marRight w:val="0"/>
                  <w:marTop w:val="0"/>
                  <w:marBottom w:val="300"/>
                  <w:divBdr>
                    <w:top w:val="single" w:sz="6" w:space="0" w:color="DDDDDD"/>
                    <w:left w:val="single" w:sz="6" w:space="0" w:color="DDDDDD"/>
                    <w:bottom w:val="single" w:sz="6" w:space="0" w:color="DDDDDD"/>
                    <w:right w:val="single" w:sz="6" w:space="0" w:color="DDDDDD"/>
                  </w:divBdr>
                  <w:divsChild>
                    <w:div w:id="393047374">
                      <w:marLeft w:val="0"/>
                      <w:marRight w:val="0"/>
                      <w:marTop w:val="0"/>
                      <w:marBottom w:val="0"/>
                      <w:divBdr>
                        <w:top w:val="none" w:sz="0" w:space="8" w:color="DDDDDD"/>
                        <w:left w:val="none" w:sz="0" w:space="11" w:color="DDDDDD"/>
                        <w:bottom w:val="single" w:sz="6" w:space="8" w:color="DDDDDD"/>
                        <w:right w:val="none" w:sz="0" w:space="11" w:color="DDDDDD"/>
                      </w:divBdr>
                    </w:div>
                    <w:div w:id="196765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736522">
          <w:marLeft w:val="-225"/>
          <w:marRight w:val="-225"/>
          <w:marTop w:val="0"/>
          <w:marBottom w:val="0"/>
          <w:divBdr>
            <w:top w:val="single" w:sz="6" w:space="0" w:color="DDDDDD"/>
            <w:left w:val="single" w:sz="6" w:space="0" w:color="DDDDDD"/>
            <w:bottom w:val="single" w:sz="6" w:space="0" w:color="DDDDDD"/>
            <w:right w:val="single" w:sz="6" w:space="0" w:color="DDDDDD"/>
          </w:divBdr>
          <w:divsChild>
            <w:div w:id="127094943">
              <w:marLeft w:val="0"/>
              <w:marRight w:val="0"/>
              <w:marTop w:val="0"/>
              <w:marBottom w:val="0"/>
              <w:divBdr>
                <w:top w:val="none" w:sz="0" w:space="0" w:color="auto"/>
                <w:left w:val="none" w:sz="0" w:space="0" w:color="auto"/>
                <w:bottom w:val="none" w:sz="0" w:space="0" w:color="auto"/>
                <w:right w:val="none" w:sz="0" w:space="0" w:color="auto"/>
              </w:divBdr>
            </w:div>
          </w:divsChild>
        </w:div>
        <w:div w:id="1200782831">
          <w:marLeft w:val="-225"/>
          <w:marRight w:val="-225"/>
          <w:marTop w:val="0"/>
          <w:marBottom w:val="0"/>
          <w:divBdr>
            <w:top w:val="none" w:sz="0" w:space="0" w:color="auto"/>
            <w:left w:val="none" w:sz="0" w:space="0" w:color="auto"/>
            <w:bottom w:val="none" w:sz="0" w:space="0" w:color="auto"/>
            <w:right w:val="none" w:sz="0" w:space="0" w:color="auto"/>
          </w:divBdr>
          <w:divsChild>
            <w:div w:id="1009019151">
              <w:marLeft w:val="0"/>
              <w:marRight w:val="0"/>
              <w:marTop w:val="0"/>
              <w:marBottom w:val="0"/>
              <w:divBdr>
                <w:top w:val="none" w:sz="0" w:space="0" w:color="auto"/>
                <w:left w:val="none" w:sz="0" w:space="0" w:color="auto"/>
                <w:bottom w:val="none" w:sz="0" w:space="0" w:color="auto"/>
                <w:right w:val="none" w:sz="0" w:space="0" w:color="auto"/>
              </w:divBdr>
              <w:divsChild>
                <w:div w:id="849947642">
                  <w:marLeft w:val="0"/>
                  <w:marRight w:val="0"/>
                  <w:marTop w:val="0"/>
                  <w:marBottom w:val="300"/>
                  <w:divBdr>
                    <w:top w:val="single" w:sz="6" w:space="0" w:color="DDDDDD"/>
                    <w:left w:val="single" w:sz="6" w:space="0" w:color="DDDDDD"/>
                    <w:bottom w:val="single" w:sz="6" w:space="0" w:color="DDDDDD"/>
                    <w:right w:val="single" w:sz="6" w:space="0" w:color="DDDDDD"/>
                  </w:divBdr>
                  <w:divsChild>
                    <w:div w:id="406194560">
                      <w:marLeft w:val="0"/>
                      <w:marRight w:val="0"/>
                      <w:marTop w:val="0"/>
                      <w:marBottom w:val="0"/>
                      <w:divBdr>
                        <w:top w:val="none" w:sz="0" w:space="8" w:color="DDDDDD"/>
                        <w:left w:val="none" w:sz="0" w:space="11" w:color="DDDDDD"/>
                        <w:bottom w:val="single" w:sz="6" w:space="8" w:color="DDDDDD"/>
                        <w:right w:val="none" w:sz="0" w:space="11" w:color="DDDDDD"/>
                      </w:divBdr>
                    </w:div>
                    <w:div w:id="202573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10619">
              <w:marLeft w:val="0"/>
              <w:marRight w:val="0"/>
              <w:marTop w:val="0"/>
              <w:marBottom w:val="0"/>
              <w:divBdr>
                <w:top w:val="none" w:sz="0" w:space="0" w:color="auto"/>
                <w:left w:val="none" w:sz="0" w:space="0" w:color="auto"/>
                <w:bottom w:val="none" w:sz="0" w:space="0" w:color="auto"/>
                <w:right w:val="none" w:sz="0" w:space="0" w:color="auto"/>
              </w:divBdr>
              <w:divsChild>
                <w:div w:id="1173573514">
                  <w:marLeft w:val="0"/>
                  <w:marRight w:val="0"/>
                  <w:marTop w:val="0"/>
                  <w:marBottom w:val="300"/>
                  <w:divBdr>
                    <w:top w:val="single" w:sz="6" w:space="0" w:color="DDDDDD"/>
                    <w:left w:val="single" w:sz="6" w:space="0" w:color="DDDDDD"/>
                    <w:bottom w:val="single" w:sz="6" w:space="0" w:color="DDDDDD"/>
                    <w:right w:val="single" w:sz="6" w:space="0" w:color="DDDDDD"/>
                  </w:divBdr>
                  <w:divsChild>
                    <w:div w:id="355078786">
                      <w:marLeft w:val="0"/>
                      <w:marRight w:val="0"/>
                      <w:marTop w:val="0"/>
                      <w:marBottom w:val="0"/>
                      <w:divBdr>
                        <w:top w:val="none" w:sz="0" w:space="8" w:color="DDDDDD"/>
                        <w:left w:val="none" w:sz="0" w:space="11" w:color="DDDDDD"/>
                        <w:bottom w:val="single" w:sz="6" w:space="8" w:color="DDDDDD"/>
                        <w:right w:val="none" w:sz="0" w:space="11" w:color="DDDDDD"/>
                      </w:divBdr>
                    </w:div>
                    <w:div w:id="5177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924923">
          <w:marLeft w:val="-225"/>
          <w:marRight w:val="-225"/>
          <w:marTop w:val="0"/>
          <w:marBottom w:val="0"/>
          <w:divBdr>
            <w:top w:val="none" w:sz="0" w:space="0" w:color="auto"/>
            <w:left w:val="none" w:sz="0" w:space="0" w:color="auto"/>
            <w:bottom w:val="none" w:sz="0" w:space="0" w:color="auto"/>
            <w:right w:val="none" w:sz="0" w:space="0" w:color="auto"/>
          </w:divBdr>
          <w:divsChild>
            <w:div w:id="1696229847">
              <w:marLeft w:val="0"/>
              <w:marRight w:val="0"/>
              <w:marTop w:val="0"/>
              <w:marBottom w:val="0"/>
              <w:divBdr>
                <w:top w:val="none" w:sz="0" w:space="0" w:color="auto"/>
                <w:left w:val="none" w:sz="0" w:space="0" w:color="auto"/>
                <w:bottom w:val="none" w:sz="0" w:space="0" w:color="auto"/>
                <w:right w:val="none" w:sz="0" w:space="0" w:color="auto"/>
              </w:divBdr>
              <w:divsChild>
                <w:div w:id="354842335">
                  <w:marLeft w:val="0"/>
                  <w:marRight w:val="0"/>
                  <w:marTop w:val="0"/>
                  <w:marBottom w:val="300"/>
                  <w:divBdr>
                    <w:top w:val="single" w:sz="6" w:space="0" w:color="DDDDDD"/>
                    <w:left w:val="single" w:sz="6" w:space="0" w:color="DDDDDD"/>
                    <w:bottom w:val="single" w:sz="6" w:space="0" w:color="DDDDDD"/>
                    <w:right w:val="single" w:sz="6" w:space="0" w:color="DDDDDD"/>
                  </w:divBdr>
                  <w:divsChild>
                    <w:div w:id="2006544823">
                      <w:marLeft w:val="0"/>
                      <w:marRight w:val="0"/>
                      <w:marTop w:val="0"/>
                      <w:marBottom w:val="0"/>
                      <w:divBdr>
                        <w:top w:val="none" w:sz="0" w:space="8" w:color="DDDDDD"/>
                        <w:left w:val="none" w:sz="0" w:space="11" w:color="DDDDDD"/>
                        <w:bottom w:val="single" w:sz="6" w:space="8" w:color="DDDDDD"/>
                        <w:right w:val="none" w:sz="0" w:space="11" w:color="DDDDDD"/>
                      </w:divBdr>
                    </w:div>
                    <w:div w:id="61310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329496">
          <w:marLeft w:val="-225"/>
          <w:marRight w:val="-225"/>
          <w:marTop w:val="0"/>
          <w:marBottom w:val="0"/>
          <w:divBdr>
            <w:top w:val="none" w:sz="0" w:space="0" w:color="auto"/>
            <w:left w:val="none" w:sz="0" w:space="0" w:color="auto"/>
            <w:bottom w:val="none" w:sz="0" w:space="0" w:color="auto"/>
            <w:right w:val="none" w:sz="0" w:space="0" w:color="auto"/>
          </w:divBdr>
          <w:divsChild>
            <w:div w:id="325986017">
              <w:marLeft w:val="0"/>
              <w:marRight w:val="0"/>
              <w:marTop w:val="0"/>
              <w:marBottom w:val="0"/>
              <w:divBdr>
                <w:top w:val="none" w:sz="0" w:space="0" w:color="auto"/>
                <w:left w:val="none" w:sz="0" w:space="0" w:color="auto"/>
                <w:bottom w:val="none" w:sz="0" w:space="0" w:color="auto"/>
                <w:right w:val="none" w:sz="0" w:space="0" w:color="auto"/>
              </w:divBdr>
              <w:divsChild>
                <w:div w:id="1533571704">
                  <w:marLeft w:val="0"/>
                  <w:marRight w:val="0"/>
                  <w:marTop w:val="0"/>
                  <w:marBottom w:val="300"/>
                  <w:divBdr>
                    <w:top w:val="single" w:sz="6" w:space="0" w:color="DDDDDD"/>
                    <w:left w:val="single" w:sz="6" w:space="0" w:color="DDDDDD"/>
                    <w:bottom w:val="single" w:sz="6" w:space="0" w:color="DDDDDD"/>
                    <w:right w:val="single" w:sz="6" w:space="0" w:color="DDDDDD"/>
                  </w:divBdr>
                  <w:divsChild>
                    <w:div w:id="1980303978">
                      <w:marLeft w:val="0"/>
                      <w:marRight w:val="0"/>
                      <w:marTop w:val="0"/>
                      <w:marBottom w:val="0"/>
                      <w:divBdr>
                        <w:top w:val="none" w:sz="0" w:space="8" w:color="DDDDDD"/>
                        <w:left w:val="none" w:sz="0" w:space="11" w:color="DDDDDD"/>
                        <w:bottom w:val="single" w:sz="6" w:space="8" w:color="DDDDDD"/>
                        <w:right w:val="none" w:sz="0" w:space="11" w:color="DDDDDD"/>
                      </w:divBdr>
                    </w:div>
                    <w:div w:id="28654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110007">
          <w:marLeft w:val="-225"/>
          <w:marRight w:val="-225"/>
          <w:marTop w:val="0"/>
          <w:marBottom w:val="0"/>
          <w:divBdr>
            <w:top w:val="none" w:sz="0" w:space="0" w:color="auto"/>
            <w:left w:val="none" w:sz="0" w:space="0" w:color="auto"/>
            <w:bottom w:val="none" w:sz="0" w:space="0" w:color="auto"/>
            <w:right w:val="none" w:sz="0" w:space="0" w:color="auto"/>
          </w:divBdr>
          <w:divsChild>
            <w:div w:id="1614899404">
              <w:marLeft w:val="0"/>
              <w:marRight w:val="0"/>
              <w:marTop w:val="0"/>
              <w:marBottom w:val="0"/>
              <w:divBdr>
                <w:top w:val="none" w:sz="0" w:space="0" w:color="auto"/>
                <w:left w:val="none" w:sz="0" w:space="0" w:color="auto"/>
                <w:bottom w:val="none" w:sz="0" w:space="0" w:color="auto"/>
                <w:right w:val="none" w:sz="0" w:space="0" w:color="auto"/>
              </w:divBdr>
              <w:divsChild>
                <w:div w:id="2035426069">
                  <w:marLeft w:val="0"/>
                  <w:marRight w:val="0"/>
                  <w:marTop w:val="0"/>
                  <w:marBottom w:val="300"/>
                  <w:divBdr>
                    <w:top w:val="single" w:sz="6" w:space="0" w:color="DDDDDD"/>
                    <w:left w:val="single" w:sz="6" w:space="0" w:color="DDDDDD"/>
                    <w:bottom w:val="single" w:sz="6" w:space="0" w:color="DDDDDD"/>
                    <w:right w:val="single" w:sz="6" w:space="0" w:color="DDDDDD"/>
                  </w:divBdr>
                  <w:divsChild>
                    <w:div w:id="959649518">
                      <w:marLeft w:val="0"/>
                      <w:marRight w:val="0"/>
                      <w:marTop w:val="0"/>
                      <w:marBottom w:val="0"/>
                      <w:divBdr>
                        <w:top w:val="none" w:sz="0" w:space="8" w:color="DDDDDD"/>
                        <w:left w:val="none" w:sz="0" w:space="11" w:color="DDDDDD"/>
                        <w:bottom w:val="single" w:sz="6" w:space="8" w:color="DDDDDD"/>
                        <w:right w:val="none" w:sz="0" w:space="11" w:color="DDDDDD"/>
                      </w:divBdr>
                    </w:div>
                    <w:div w:id="101491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990741">
          <w:marLeft w:val="-225"/>
          <w:marRight w:val="-225"/>
          <w:marTop w:val="0"/>
          <w:marBottom w:val="0"/>
          <w:divBdr>
            <w:top w:val="none" w:sz="0" w:space="0" w:color="auto"/>
            <w:left w:val="none" w:sz="0" w:space="0" w:color="auto"/>
            <w:bottom w:val="none" w:sz="0" w:space="0" w:color="auto"/>
            <w:right w:val="none" w:sz="0" w:space="0" w:color="auto"/>
          </w:divBdr>
          <w:divsChild>
            <w:div w:id="891313099">
              <w:marLeft w:val="0"/>
              <w:marRight w:val="0"/>
              <w:marTop w:val="0"/>
              <w:marBottom w:val="0"/>
              <w:divBdr>
                <w:top w:val="none" w:sz="0" w:space="0" w:color="auto"/>
                <w:left w:val="none" w:sz="0" w:space="0" w:color="auto"/>
                <w:bottom w:val="none" w:sz="0" w:space="0" w:color="auto"/>
                <w:right w:val="none" w:sz="0" w:space="0" w:color="auto"/>
              </w:divBdr>
              <w:divsChild>
                <w:div w:id="231812491">
                  <w:marLeft w:val="0"/>
                  <w:marRight w:val="0"/>
                  <w:marTop w:val="0"/>
                  <w:marBottom w:val="300"/>
                  <w:divBdr>
                    <w:top w:val="single" w:sz="6" w:space="0" w:color="DDDDDD"/>
                    <w:left w:val="single" w:sz="6" w:space="0" w:color="DDDDDD"/>
                    <w:bottom w:val="single" w:sz="6" w:space="0" w:color="DDDDDD"/>
                    <w:right w:val="single" w:sz="6" w:space="0" w:color="DDDDDD"/>
                  </w:divBdr>
                  <w:divsChild>
                    <w:div w:id="956257336">
                      <w:marLeft w:val="0"/>
                      <w:marRight w:val="0"/>
                      <w:marTop w:val="0"/>
                      <w:marBottom w:val="0"/>
                      <w:divBdr>
                        <w:top w:val="none" w:sz="0" w:space="8" w:color="DDDDDD"/>
                        <w:left w:val="none" w:sz="0" w:space="11" w:color="DDDDDD"/>
                        <w:bottom w:val="single" w:sz="6" w:space="8" w:color="DDDDDD"/>
                        <w:right w:val="none" w:sz="0" w:space="11" w:color="DDDDDD"/>
                      </w:divBdr>
                    </w:div>
                    <w:div w:id="40148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541191">
          <w:marLeft w:val="-225"/>
          <w:marRight w:val="-225"/>
          <w:marTop w:val="0"/>
          <w:marBottom w:val="0"/>
          <w:divBdr>
            <w:top w:val="single" w:sz="6" w:space="0" w:color="DDDDDD"/>
            <w:left w:val="single" w:sz="6" w:space="0" w:color="DDDDDD"/>
            <w:bottom w:val="single" w:sz="6" w:space="0" w:color="DDDDDD"/>
            <w:right w:val="single" w:sz="6" w:space="0" w:color="DDDDDD"/>
          </w:divBdr>
          <w:divsChild>
            <w:div w:id="12119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5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40845-3C42-4649-BD5B-BEF637436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3973</TotalTime>
  <Pages>25</Pages>
  <Words>3527</Words>
  <Characters>20106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23586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Lee</dc:creator>
  <cp:keywords/>
  <dc:description/>
  <cp:lastModifiedBy>Williams, Lee</cp:lastModifiedBy>
  <cp:revision>34</cp:revision>
  <dcterms:created xsi:type="dcterms:W3CDTF">2021-10-23T23:58:00Z</dcterms:created>
  <dcterms:modified xsi:type="dcterms:W3CDTF">2022-02-24T10:55:00Z</dcterms:modified>
</cp:coreProperties>
</file>