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597525" cy="7998460"/>
            <wp:effectExtent l="9525" t="9525" r="12700" b="12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rcRect l="26441" t="32521" r="48450" b="19018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79984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GB"/>
        </w:rPr>
      </w:pPr>
      <w:r>
        <w:rPr>
          <w:rFonts w:hint="default"/>
          <w:lang w:val="en-GB"/>
        </w:rPr>
        <w:t>Location Plan: Gamford House, Rossett LL12 0EW</w:t>
      </w:r>
    </w:p>
    <w:p>
      <w:pPr>
        <w:rPr>
          <w:rFonts w:hint="default"/>
          <w:lang w:val="en-GB"/>
        </w:rPr>
      </w:pPr>
      <w:r>
        <w:rPr>
          <w:rFonts w:hint="default"/>
          <w:lang w:val="en-GB"/>
        </w:rPr>
        <w:t>Scale: 1:1250@A4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43B70"/>
    <w:rsid w:val="443564E6"/>
    <w:rsid w:val="5E14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Office_11.2.0.10017_F1E327BC-269C-435d-A152-05C5408002CA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2021-03-21T22:58:00Z</dcterms:created>
  <dc:creator>Dave Horton</dc:creator>
  <cp:lastModifiedBy>Dave Horton</cp:lastModifiedBy>
  <dcterms:modified xsi:type="dcterms:W3CDTF">2021-03-21T23:09:24Z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