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64C67" w14:textId="77777777" w:rsidR="00C64B39" w:rsidRPr="00A26895" w:rsidRDefault="00C64B39" w:rsidP="00306D09">
      <w:pPr>
        <w:rPr>
          <w:rFonts w:ascii="Arial" w:hAnsi="Arial" w:cs="Arial"/>
        </w:rPr>
      </w:pPr>
    </w:p>
    <w:p w14:paraId="5A964C68" w14:textId="12D3CBD4"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Ms Mared Rees-Jones</w:t>
      </w:r>
      <w:r w:rsidR="008A64F6">
        <w:rPr>
          <w:rFonts w:ascii="Arial" w:hAnsi="Arial" w:cs="Arial"/>
          <w:szCs w:val="24"/>
          <w:u w:val="single"/>
        </w:rPr>
        <w:t xml:space="preserve"> – Case Officer</w:t>
      </w:r>
    </w:p>
    <w:p w14:paraId="5A964C69" w14:textId="77777777" w:rsidR="00C64B39" w:rsidRPr="00493B1C" w:rsidRDefault="00493B1C" w:rsidP="00A26895">
      <w:pPr>
        <w:rPr>
          <w:rFonts w:ascii="Arial" w:hAnsi="Arial" w:cs="Arial"/>
        </w:rPr>
      </w:pPr>
      <w:r w:rsidRPr="00493B1C">
        <w:rPr>
          <w:rFonts w:ascii="Arial" w:hAnsi="Arial" w:cs="Arial"/>
        </w:rPr>
        <w:t>Wrexham County Borough Council</w:t>
      </w:r>
    </w:p>
    <w:p w14:paraId="5A964C6A" w14:textId="77777777" w:rsidR="00C64B39" w:rsidRPr="00A26895" w:rsidRDefault="00C64B39" w:rsidP="00A26895">
      <w:pPr>
        <w:jc w:val="both"/>
        <w:rPr>
          <w:rFonts w:ascii="Arial" w:hAnsi="Arial" w:cs="Arial"/>
          <w:color w:val="FF0000"/>
          <w:szCs w:val="24"/>
        </w:rPr>
      </w:pPr>
    </w:p>
    <w:p w14:paraId="5A964C6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A964C6C" w14:textId="77777777" w:rsidR="00493B1C" w:rsidRPr="00A26895" w:rsidRDefault="00493B1C" w:rsidP="00A26895">
      <w:pPr>
        <w:jc w:val="both"/>
        <w:rPr>
          <w:rFonts w:ascii="Arial" w:hAnsi="Arial" w:cs="Arial"/>
          <w:szCs w:val="24"/>
        </w:rPr>
      </w:pPr>
    </w:p>
    <w:p w14:paraId="5A964C6D" w14:textId="2E401AE7" w:rsidR="00C64B39" w:rsidRPr="00493B1C" w:rsidRDefault="008A64F6" w:rsidP="00A26895">
      <w:pPr>
        <w:jc w:val="both"/>
        <w:rPr>
          <w:rFonts w:ascii="Arial" w:hAnsi="Arial" w:cs="Arial"/>
          <w:szCs w:val="24"/>
        </w:rPr>
      </w:pPr>
      <w:r>
        <w:rPr>
          <w:rFonts w:ascii="Arial" w:hAnsi="Arial" w:cs="Arial"/>
          <w:szCs w:val="24"/>
        </w:rPr>
        <w:t>28 May 2019</w:t>
      </w:r>
    </w:p>
    <w:p w14:paraId="5A964C6E"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A964C6F"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Ms Mared Rees-Jones</w:t>
      </w:r>
    </w:p>
    <w:p w14:paraId="5A964C70" w14:textId="77777777" w:rsidR="00C64B39" w:rsidRPr="00A26895" w:rsidRDefault="00C64B39" w:rsidP="00A26895">
      <w:pPr>
        <w:jc w:val="both"/>
        <w:rPr>
          <w:rFonts w:ascii="Arial" w:hAnsi="Arial" w:cs="Arial"/>
          <w:szCs w:val="24"/>
        </w:rPr>
      </w:pPr>
    </w:p>
    <w:p w14:paraId="5A964C71" w14:textId="6CF2D0D5"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8A64F6">
        <w:rPr>
          <w:rFonts w:ascii="Arial" w:hAnsi="Arial" w:cs="Arial"/>
          <w:b/>
          <w:szCs w:val="24"/>
          <w:u w:val="single"/>
        </w:rPr>
        <w:t>:</w:t>
      </w:r>
      <w:r w:rsidR="00493B1C">
        <w:rPr>
          <w:rFonts w:ascii="Arial" w:hAnsi="Arial" w:cs="Arial"/>
          <w:b/>
          <w:szCs w:val="24"/>
          <w:u w:val="single"/>
        </w:rPr>
        <w:t xml:space="preserve"> P/2019 /0367</w:t>
      </w:r>
    </w:p>
    <w:p w14:paraId="5A964C72" w14:textId="77777777" w:rsidR="00C64B39" w:rsidRPr="00A26895" w:rsidRDefault="00C64B39" w:rsidP="00A26895">
      <w:pPr>
        <w:jc w:val="both"/>
        <w:rPr>
          <w:rFonts w:ascii="Arial" w:hAnsi="Arial" w:cs="Arial"/>
          <w:b/>
          <w:szCs w:val="24"/>
        </w:rPr>
      </w:pPr>
    </w:p>
    <w:p w14:paraId="5A964C73" w14:textId="77777777" w:rsidR="00C64B39" w:rsidRPr="00A26895" w:rsidRDefault="00493B1C" w:rsidP="00A26895">
      <w:pPr>
        <w:jc w:val="both"/>
        <w:rPr>
          <w:rFonts w:ascii="Arial" w:hAnsi="Arial" w:cs="Arial"/>
          <w:b/>
          <w:szCs w:val="24"/>
        </w:rPr>
      </w:pPr>
      <w:r>
        <w:rPr>
          <w:rFonts w:ascii="Arial" w:hAnsi="Arial" w:cs="Arial"/>
          <w:b/>
          <w:szCs w:val="24"/>
        </w:rPr>
        <w:t>Erection of proposed chicken processing facility; Vacant Site Adjacent To  Unit 34, Five Crosses Industrial Estate, Minera, Wrexham, LL11 3RD</w:t>
      </w:r>
    </w:p>
    <w:p w14:paraId="5A964C74" w14:textId="77777777" w:rsidR="00C64B39" w:rsidRPr="00A26895" w:rsidRDefault="00C64B39" w:rsidP="00A26895">
      <w:pPr>
        <w:jc w:val="both"/>
        <w:rPr>
          <w:rFonts w:ascii="Arial" w:hAnsi="Arial" w:cs="Arial"/>
          <w:b/>
          <w:szCs w:val="24"/>
          <w:u w:val="single"/>
        </w:rPr>
      </w:pPr>
    </w:p>
    <w:p w14:paraId="5A964C75"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15 May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5A964C76" w14:textId="77777777" w:rsidR="00C64B39" w:rsidRDefault="00C64B39" w:rsidP="00306D09">
      <w:pPr>
        <w:jc w:val="both"/>
        <w:rPr>
          <w:rFonts w:ascii="Arial" w:hAnsi="Arial" w:cs="Arial"/>
        </w:rPr>
      </w:pPr>
    </w:p>
    <w:p w14:paraId="5A964C77"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5A964C78" w14:textId="77777777" w:rsidR="00C64B39" w:rsidRPr="00A26895" w:rsidRDefault="00C64B39" w:rsidP="00306D09">
      <w:pPr>
        <w:jc w:val="both"/>
        <w:rPr>
          <w:rFonts w:ascii="Arial" w:hAnsi="Arial" w:cs="Arial"/>
        </w:rPr>
      </w:pPr>
    </w:p>
    <w:p w14:paraId="5A964C79" w14:textId="232CF912"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8A64F6">
        <w:rPr>
          <w:rFonts w:ascii="Arial" w:hAnsi="Arial" w:cs="Arial"/>
          <w:b/>
          <w:szCs w:val="24"/>
          <w:u w:val="single"/>
        </w:rPr>
        <w:t>Substantive Concern</w:t>
      </w:r>
      <w:r w:rsidRPr="00B66389">
        <w:rPr>
          <w:rFonts w:ascii="Arial" w:hAnsi="Arial" w:cs="Arial"/>
          <w:b/>
          <w:color w:val="548DD4"/>
          <w:szCs w:val="24"/>
          <w:u w:val="single"/>
        </w:rPr>
        <w:t xml:space="preserve"> </w:t>
      </w:r>
    </w:p>
    <w:p w14:paraId="5A964C7A" w14:textId="77777777" w:rsidR="00C64B39" w:rsidRPr="00A26895" w:rsidRDefault="00C64B39" w:rsidP="0021598E">
      <w:pPr>
        <w:jc w:val="both"/>
        <w:rPr>
          <w:rFonts w:ascii="Arial" w:hAnsi="Arial" w:cs="Arial"/>
          <w:b/>
          <w:szCs w:val="24"/>
          <w:u w:val="single"/>
        </w:rPr>
      </w:pPr>
    </w:p>
    <w:p w14:paraId="5A964C7B" w14:textId="77777777" w:rsidR="00C64B39" w:rsidRPr="007B6687" w:rsidRDefault="00C64B39" w:rsidP="00B66389">
      <w:pPr>
        <w:jc w:val="both"/>
        <w:rPr>
          <w:rFonts w:ascii="Arial" w:hAnsi="Arial" w:cs="Arial"/>
          <w:iCs/>
          <w:shd w:val="clear" w:color="auto" w:fill="FFFF00"/>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5A964C7C" w14:textId="77777777" w:rsidR="00C64B39" w:rsidRPr="008A64F6" w:rsidRDefault="00C64B39" w:rsidP="0021598E">
      <w:pPr>
        <w:jc w:val="both"/>
        <w:rPr>
          <w:rFonts w:ascii="Arial" w:hAnsi="Arial" w:cs="Arial"/>
          <w:iCs/>
        </w:rPr>
      </w:pPr>
    </w:p>
    <w:p w14:paraId="5A964C7E" w14:textId="08E0039F" w:rsidR="00C64B39" w:rsidRDefault="008A64F6" w:rsidP="00B66389">
      <w:pPr>
        <w:jc w:val="both"/>
        <w:rPr>
          <w:rFonts w:ascii="Arial" w:hAnsi="Arial" w:cs="Arial"/>
          <w:iCs/>
        </w:rPr>
      </w:pPr>
      <w:r w:rsidRPr="008A64F6">
        <w:rPr>
          <w:rFonts w:ascii="Arial" w:hAnsi="Arial" w:cs="Arial"/>
          <w:iCs/>
        </w:rPr>
        <w:t xml:space="preserve">The Coal Authority records indicate recorded coal mine workings at shallow depth beneath the application site. </w:t>
      </w:r>
    </w:p>
    <w:p w14:paraId="5EBA9DC0" w14:textId="77777777" w:rsidR="008A64F6" w:rsidRDefault="008A64F6" w:rsidP="00B66389">
      <w:pPr>
        <w:jc w:val="both"/>
        <w:rPr>
          <w:rFonts w:ascii="Arial" w:hAnsi="Arial" w:cs="Arial"/>
          <w:iCs/>
        </w:rPr>
      </w:pPr>
    </w:p>
    <w:p w14:paraId="7105521E" w14:textId="1AFB0335" w:rsidR="008A64F6" w:rsidRDefault="008A64F6" w:rsidP="008A64F6">
      <w:pPr>
        <w:jc w:val="both"/>
        <w:rPr>
          <w:rFonts w:ascii="Arial" w:hAnsi="Arial" w:cs="Arial"/>
          <w:iCs/>
        </w:rPr>
      </w:pPr>
      <w:r>
        <w:rPr>
          <w:rFonts w:ascii="Arial" w:hAnsi="Arial" w:cs="Arial"/>
          <w:iCs/>
        </w:rPr>
        <w:t xml:space="preserve">The applicant has submitted some coal mining information to accompany the planning application; </w:t>
      </w:r>
      <w:r>
        <w:rPr>
          <w:rFonts w:ascii="Arial" w:hAnsi="Arial" w:cs="Arial"/>
          <w:iCs/>
        </w:rPr>
        <w:t>in the form of a CON29M mining report</w:t>
      </w:r>
      <w:r>
        <w:rPr>
          <w:rFonts w:ascii="Arial" w:hAnsi="Arial" w:cs="Arial"/>
          <w:iCs/>
        </w:rPr>
        <w:t xml:space="preserve">.  However, </w:t>
      </w:r>
      <w:r>
        <w:rPr>
          <w:rFonts w:ascii="Arial" w:hAnsi="Arial" w:cs="Arial"/>
          <w:iCs/>
        </w:rPr>
        <w:t>this</w:t>
      </w:r>
      <w:r>
        <w:rPr>
          <w:rFonts w:ascii="Arial" w:hAnsi="Arial" w:cs="Arial"/>
          <w:iCs/>
        </w:rPr>
        <w:t xml:space="preserve"> </w:t>
      </w:r>
      <w:r>
        <w:rPr>
          <w:rFonts w:ascii="Arial" w:hAnsi="Arial" w:cs="Arial"/>
          <w:iCs/>
        </w:rPr>
        <w:t xml:space="preserve">is a </w:t>
      </w:r>
      <w:r>
        <w:rPr>
          <w:rFonts w:ascii="Arial" w:hAnsi="Arial" w:cs="Arial"/>
          <w:iCs/>
        </w:rPr>
        <w:t xml:space="preserve">factual </w:t>
      </w:r>
      <w:r>
        <w:rPr>
          <w:rFonts w:ascii="Arial" w:hAnsi="Arial" w:cs="Arial"/>
          <w:iCs/>
        </w:rPr>
        <w:t xml:space="preserve">report </w:t>
      </w:r>
      <w:r>
        <w:rPr>
          <w:rFonts w:ascii="Arial" w:hAnsi="Arial" w:cs="Arial"/>
          <w:iCs/>
        </w:rPr>
        <w:t xml:space="preserve">and </w:t>
      </w:r>
      <w:r>
        <w:rPr>
          <w:rFonts w:ascii="Arial" w:hAnsi="Arial" w:cs="Arial"/>
          <w:iCs/>
        </w:rPr>
        <w:t>as such its contents</w:t>
      </w:r>
      <w:r>
        <w:rPr>
          <w:rFonts w:ascii="Arial" w:hAnsi="Arial" w:cs="Arial"/>
          <w:iCs/>
        </w:rPr>
        <w:t xml:space="preserve"> does not provide any assessment of the potential risks posed to the development proposal by past coal mining activity.  The Coal Authority therefore </w:t>
      </w:r>
      <w:r w:rsidRPr="00FF03A9">
        <w:rPr>
          <w:rFonts w:ascii="Arial" w:hAnsi="Arial" w:cs="Arial"/>
          <w:b/>
          <w:iCs/>
        </w:rPr>
        <w:t>object</w:t>
      </w:r>
      <w:r>
        <w:rPr>
          <w:rFonts w:ascii="Arial" w:hAnsi="Arial" w:cs="Arial"/>
          <w:b/>
          <w:iCs/>
        </w:rPr>
        <w:t>s</w:t>
      </w:r>
      <w:r>
        <w:rPr>
          <w:rFonts w:ascii="Arial" w:hAnsi="Arial" w:cs="Arial"/>
          <w:iCs/>
        </w:rPr>
        <w:t xml:space="preserve"> to this planning application. </w:t>
      </w:r>
    </w:p>
    <w:p w14:paraId="420FE6CB" w14:textId="77777777" w:rsidR="008A64F6" w:rsidRDefault="008A64F6" w:rsidP="008A64F6">
      <w:pPr>
        <w:jc w:val="both"/>
        <w:rPr>
          <w:rFonts w:ascii="Arial" w:hAnsi="Arial" w:cs="Arial"/>
          <w:iCs/>
        </w:rPr>
      </w:pPr>
    </w:p>
    <w:p w14:paraId="18DF1023" w14:textId="77777777" w:rsidR="008A64F6" w:rsidRDefault="008A64F6" w:rsidP="008A64F6">
      <w:pPr>
        <w:jc w:val="both"/>
        <w:rPr>
          <w:rFonts w:ascii="Arial" w:hAnsi="Arial" w:cs="Arial"/>
          <w:iCs/>
        </w:rPr>
      </w:pPr>
      <w:r>
        <w:rPr>
          <w:rFonts w:ascii="Arial" w:hAnsi="Arial" w:cs="Arial"/>
          <w:iCs/>
        </w:rPr>
        <w:lastRenderedPageBreak/>
        <w:t xml:space="preserve">In accordance with the agreed risk-based approach to development management in the defined Development High Risk Areas, the applicant should be informed that they need to submit a Coal Mining Risk Assessment Report, or equivalent report, to support this planning application.  This assessment should be prepared by a suitably qualified person.  Without such a risk assessment, the Coal Authority does not consider that the LPA has sufficient information to determine this planning application. </w:t>
      </w:r>
    </w:p>
    <w:p w14:paraId="7715C2CC" w14:textId="77777777" w:rsidR="008A64F6" w:rsidRDefault="008A64F6" w:rsidP="008A64F6">
      <w:pPr>
        <w:jc w:val="both"/>
        <w:rPr>
          <w:rFonts w:ascii="Arial" w:hAnsi="Arial" w:cs="Arial"/>
          <w:iCs/>
        </w:rPr>
      </w:pPr>
    </w:p>
    <w:p w14:paraId="224AF382" w14:textId="77777777" w:rsidR="008A64F6" w:rsidRPr="00E30349" w:rsidRDefault="008A64F6" w:rsidP="008A64F6">
      <w:pPr>
        <w:jc w:val="both"/>
        <w:rPr>
          <w:rFonts w:ascii="Arial" w:hAnsi="Arial" w:cs="Arial"/>
          <w:iCs/>
        </w:rPr>
      </w:pPr>
      <w:r w:rsidRPr="00710910">
        <w:rPr>
          <w:rFonts w:ascii="Arial" w:hAnsi="Arial" w:cs="Arial"/>
          <w:iCs/>
        </w:rPr>
        <w:t>The Coal Authority would be very pleased to receive for further consultation and comment any additional information submitted by the applicant.</w:t>
      </w:r>
    </w:p>
    <w:p w14:paraId="5A964C82" w14:textId="77777777" w:rsidR="00C64B39" w:rsidRDefault="00C64B39" w:rsidP="00B66389">
      <w:pPr>
        <w:jc w:val="both"/>
        <w:rPr>
          <w:rFonts w:ascii="Arial" w:hAnsi="Arial" w:cs="Arial"/>
          <w:szCs w:val="24"/>
        </w:rPr>
      </w:pPr>
    </w:p>
    <w:p w14:paraId="5A964C83"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5A964C84" w14:textId="77777777" w:rsidR="00C64B39" w:rsidRDefault="00C64B39" w:rsidP="00B66389">
      <w:pPr>
        <w:rPr>
          <w:rFonts w:ascii="Arial" w:hAnsi="Arial" w:cs="Arial"/>
          <w:szCs w:val="24"/>
        </w:rPr>
      </w:pPr>
    </w:p>
    <w:p w14:paraId="05D06CDB" w14:textId="77777777" w:rsidR="008A64F6" w:rsidRPr="007E067C" w:rsidRDefault="008A64F6" w:rsidP="008A64F6">
      <w:pPr>
        <w:jc w:val="both"/>
        <w:rPr>
          <w:rFonts w:ascii="Arial" w:hAnsi="Arial" w:cs="Arial"/>
          <w:szCs w:val="24"/>
        </w:rPr>
      </w:pPr>
      <w:r w:rsidRPr="007E067C">
        <w:rPr>
          <w:rFonts w:ascii="Arial" w:hAnsi="Arial" w:cs="Arial"/>
          <w:szCs w:val="24"/>
        </w:rPr>
        <w:t>Yours Sincerely,</w:t>
      </w:r>
    </w:p>
    <w:p w14:paraId="27ECCE60" w14:textId="77777777" w:rsidR="008A64F6" w:rsidRPr="007E067C" w:rsidRDefault="008A64F6" w:rsidP="008A64F6">
      <w:pPr>
        <w:rPr>
          <w:rFonts w:ascii="Arial" w:hAnsi="Arial" w:cs="Arial"/>
          <w:b/>
        </w:rPr>
      </w:pPr>
    </w:p>
    <w:p w14:paraId="42B5F0EC" w14:textId="77777777" w:rsidR="008A64F6" w:rsidRPr="0014639E" w:rsidRDefault="008A64F6" w:rsidP="008A64F6">
      <w:pPr>
        <w:rPr>
          <w:rFonts w:ascii="Arial" w:hAnsi="Arial" w:cs="Arial"/>
        </w:rPr>
      </w:pPr>
      <w:r w:rsidRPr="0014639E">
        <w:rPr>
          <w:rFonts w:ascii="Brush Script MT" w:hAnsi="Brush Script MT"/>
          <w:sz w:val="52"/>
        </w:rPr>
        <w:t>George Weightman</w:t>
      </w:r>
    </w:p>
    <w:p w14:paraId="58E8627A" w14:textId="77777777" w:rsidR="008A64F6" w:rsidRPr="007E067C" w:rsidRDefault="008A64F6" w:rsidP="008A64F6">
      <w:pPr>
        <w:rPr>
          <w:rFonts w:ascii="Arial" w:hAnsi="Arial" w:cs="Arial"/>
          <w:b/>
        </w:rPr>
      </w:pPr>
    </w:p>
    <w:p w14:paraId="6616CCDE" w14:textId="77777777" w:rsidR="008A64F6" w:rsidRPr="007E067C" w:rsidRDefault="008A64F6" w:rsidP="008A64F6">
      <w:pPr>
        <w:jc w:val="both"/>
        <w:rPr>
          <w:rFonts w:ascii="Arial" w:hAnsi="Arial" w:cs="Arial"/>
          <w:b/>
          <w:sz w:val="18"/>
        </w:rPr>
      </w:pPr>
      <w:r>
        <w:rPr>
          <w:rFonts w:ascii="Arial" w:hAnsi="Arial" w:cs="Arial"/>
          <w:b/>
        </w:rPr>
        <w:t>George Weightman</w:t>
      </w:r>
      <w:r w:rsidRPr="007E067C">
        <w:rPr>
          <w:rFonts w:ascii="Arial" w:hAnsi="Arial" w:cs="Arial"/>
          <w:b/>
        </w:rPr>
        <w:t xml:space="preserve"> | </w:t>
      </w:r>
      <w:r w:rsidRPr="0014639E">
        <w:rPr>
          <w:rFonts w:ascii="Arial" w:hAnsi="Arial" w:cs="Arial"/>
          <w:sz w:val="18"/>
        </w:rPr>
        <w:t xml:space="preserve">BSc (Hons), MSc </w:t>
      </w:r>
    </w:p>
    <w:p w14:paraId="13BE45BB" w14:textId="77777777" w:rsidR="008A64F6" w:rsidRPr="007E067C" w:rsidRDefault="008A64F6" w:rsidP="008A64F6">
      <w:pPr>
        <w:jc w:val="both"/>
        <w:rPr>
          <w:rFonts w:ascii="Arial" w:hAnsi="Arial" w:cs="Arial"/>
          <w:sz w:val="32"/>
          <w:szCs w:val="24"/>
          <w:highlight w:val="yellow"/>
        </w:rPr>
      </w:pPr>
      <w:r w:rsidRPr="007E067C">
        <w:rPr>
          <w:rFonts w:ascii="Arial" w:hAnsi="Arial" w:cs="Arial"/>
          <w:b/>
        </w:rPr>
        <w:t>Trainee Planning Liaison Manager</w:t>
      </w:r>
    </w:p>
    <w:p w14:paraId="5A964C8E" w14:textId="77777777" w:rsidR="00C64B39" w:rsidRDefault="00C64B39" w:rsidP="00B66389">
      <w:pPr>
        <w:jc w:val="both"/>
        <w:rPr>
          <w:rFonts w:ascii="Arial" w:hAnsi="Arial" w:cs="Arial"/>
          <w:u w:val="single"/>
        </w:rPr>
      </w:pPr>
    </w:p>
    <w:p w14:paraId="5A964C8F" w14:textId="77777777" w:rsidR="00C64B39" w:rsidRDefault="00C64B39" w:rsidP="00B66389">
      <w:pPr>
        <w:jc w:val="both"/>
        <w:rPr>
          <w:rFonts w:ascii="Arial" w:hAnsi="Arial" w:cs="Arial"/>
          <w:u w:val="single"/>
        </w:rPr>
      </w:pPr>
    </w:p>
    <w:p w14:paraId="5A964C90"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5A964C91" w14:textId="77777777" w:rsidR="00C64B39" w:rsidRDefault="00C64B39" w:rsidP="00B66389">
      <w:pPr>
        <w:jc w:val="both"/>
        <w:rPr>
          <w:rFonts w:ascii="Arial" w:hAnsi="Arial" w:cs="Arial"/>
          <w:iCs/>
        </w:rPr>
      </w:pPr>
    </w:p>
    <w:p w14:paraId="414D1AB2" w14:textId="77777777" w:rsidR="008A64F6" w:rsidRDefault="008A64F6" w:rsidP="008A64F6">
      <w:pPr>
        <w:jc w:val="both"/>
        <w:rPr>
          <w:rFonts w:ascii="Arial" w:hAnsi="Arial" w:cs="Arial"/>
          <w:iCs/>
        </w:rPr>
      </w:pPr>
      <w:r>
        <w:rPr>
          <w:rFonts w:ascii="Arial" w:hAnsi="Arial" w:cs="Arial"/>
          <w:iCs/>
        </w:rPr>
        <w:t xml:space="preserve">The coal mining information within the Coal Mining Report (such as a </w:t>
      </w:r>
      <w:r w:rsidRPr="00DD7A7D">
        <w:rPr>
          <w:rFonts w:ascii="Arial" w:hAnsi="Arial" w:cs="Arial"/>
          <w:iCs/>
        </w:rPr>
        <w:t>Non-Residential Coal Mining Report, an Enviro-All-in-One Report or other factual report</w:t>
      </w:r>
      <w:r>
        <w:rPr>
          <w:rFonts w:ascii="Arial" w:hAnsi="Arial" w:cs="Arial"/>
          <w:iCs/>
        </w:rPr>
        <w:t>)</w:t>
      </w:r>
      <w:r w:rsidRPr="00DD7A7D">
        <w:rPr>
          <w:rFonts w:ascii="Arial" w:hAnsi="Arial" w:cs="Arial"/>
          <w:iCs/>
        </w:rPr>
        <w:t xml:space="preserve"> </w:t>
      </w:r>
      <w:r>
        <w:rPr>
          <w:rFonts w:ascii="Arial" w:hAnsi="Arial" w:cs="Arial"/>
          <w:iCs/>
        </w:rPr>
        <w:t>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4605E59F" w14:textId="77777777" w:rsidR="008A64F6" w:rsidRDefault="008A64F6" w:rsidP="008A64F6">
      <w:pPr>
        <w:jc w:val="both"/>
        <w:rPr>
          <w:rFonts w:ascii="Arial" w:hAnsi="Arial" w:cs="Arial"/>
          <w:iCs/>
        </w:rPr>
      </w:pPr>
    </w:p>
    <w:p w14:paraId="6B46DF1F" w14:textId="77777777" w:rsidR="008A64F6" w:rsidRPr="008A64F6" w:rsidRDefault="008A64F6" w:rsidP="008A64F6">
      <w:pPr>
        <w:jc w:val="both"/>
        <w:rPr>
          <w:rFonts w:ascii="Arial" w:hAnsi="Arial" w:cs="Arial"/>
          <w:iCs/>
        </w:rPr>
      </w:pPr>
      <w:r w:rsidRPr="008A64F6">
        <w:rPr>
          <w:rFonts w:ascii="Arial" w:hAnsi="Arial" w:cs="Arial"/>
          <w:iCs/>
        </w:rPr>
        <w:t>The need for a Coal Mining Risk Assessment is set out in the National Planning Practice Guide at:</w:t>
      </w:r>
    </w:p>
    <w:p w14:paraId="18EAAAB7" w14:textId="77777777" w:rsidR="008A64F6" w:rsidRPr="00DD7A7D" w:rsidRDefault="008A64F6" w:rsidP="008A64F6">
      <w:pPr>
        <w:jc w:val="both"/>
        <w:rPr>
          <w:rFonts w:ascii="Arial" w:hAnsi="Arial" w:cs="Arial"/>
          <w:iCs/>
        </w:rPr>
      </w:pPr>
      <w:hyperlink r:id="rId8" w:history="1">
        <w:r w:rsidRPr="008A64F6">
          <w:rPr>
            <w:rStyle w:val="Hyperlink"/>
            <w:rFonts w:ascii="Arial" w:hAnsi="Arial" w:cs="Arial"/>
            <w:iCs/>
          </w:rPr>
          <w:t>http://planningguidance.planningportal.gov.uk/blog/guidance/land-stability/land-stability-guidance/</w:t>
        </w:r>
      </w:hyperlink>
    </w:p>
    <w:p w14:paraId="5A964C93" w14:textId="77777777" w:rsidR="00C64B39" w:rsidRPr="008A64F6" w:rsidRDefault="00C64B39" w:rsidP="00B66389">
      <w:pPr>
        <w:jc w:val="both"/>
        <w:rPr>
          <w:rFonts w:ascii="Arial" w:hAnsi="Arial" w:cs="Arial"/>
          <w:b/>
        </w:rPr>
      </w:pPr>
    </w:p>
    <w:p w14:paraId="5A964C94"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5A964C95" w14:textId="77777777" w:rsidR="00C64B39" w:rsidRDefault="00C64B39" w:rsidP="00B66389">
      <w:pPr>
        <w:jc w:val="both"/>
        <w:rPr>
          <w:rFonts w:ascii="Arial" w:hAnsi="Arial" w:cs="Arial"/>
        </w:rPr>
      </w:pPr>
    </w:p>
    <w:p w14:paraId="5A964C96"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w:t>
      </w:r>
      <w:bookmarkStart w:id="0" w:name="_GoBack"/>
      <w:bookmarkEnd w:id="0"/>
      <w:r w:rsidR="00C64B39">
        <w:rPr>
          <w:rFonts w:ascii="Arial" w:hAnsi="Arial" w:cs="Arial"/>
        </w:rPr>
        <w:t xml:space="preserve"> Mining Risk </w:t>
      </w:r>
      <w:r w:rsidR="00C64B39">
        <w:rPr>
          <w:rFonts w:ascii="Arial" w:hAnsi="Arial" w:cs="Arial"/>
        </w:rPr>
        <w:lastRenderedPageBreak/>
        <w:t>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5A964C97" w14:textId="77777777" w:rsidR="00C64B39" w:rsidRDefault="00C64B39" w:rsidP="00B66389">
      <w:pPr>
        <w:jc w:val="both"/>
        <w:rPr>
          <w:rFonts w:ascii="Arial" w:hAnsi="Arial" w:cs="Arial"/>
        </w:rPr>
      </w:pPr>
    </w:p>
    <w:p w14:paraId="5A964C99"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64C9C" w14:textId="77777777" w:rsidR="008E410B" w:rsidRDefault="008E410B">
      <w:r>
        <w:separator/>
      </w:r>
    </w:p>
  </w:endnote>
  <w:endnote w:type="continuationSeparator" w:id="0">
    <w:p w14:paraId="5A964C9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A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964CA1"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A2"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8A64F6">
      <w:rPr>
        <w:rStyle w:val="PageNumber"/>
        <w:rFonts w:ascii="Arial" w:hAnsi="Arial" w:cs="Arial"/>
        <w:noProof/>
      </w:rPr>
      <w:t>2</w:t>
    </w:r>
    <w:r w:rsidRPr="009F4C8D">
      <w:rPr>
        <w:rStyle w:val="PageNumber"/>
        <w:rFonts w:ascii="Arial" w:hAnsi="Arial" w:cs="Arial"/>
      </w:rPr>
      <w:fldChar w:fldCharType="end"/>
    </w:r>
  </w:p>
  <w:p w14:paraId="5A964CA3" w14:textId="77777777" w:rsidR="00C64B39" w:rsidRDefault="00C64B39">
    <w:pPr>
      <w:pStyle w:val="Footer"/>
    </w:pPr>
    <w:r>
      <w:br/>
    </w:r>
  </w:p>
  <w:p w14:paraId="5A964CA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A964CA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A7"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8A64F6">
      <w:rPr>
        <w:rStyle w:val="PageNumber"/>
        <w:rFonts w:ascii="Arial" w:hAnsi="Arial" w:cs="Arial"/>
        <w:noProof/>
      </w:rPr>
      <w:t>1</w:t>
    </w:r>
    <w:r w:rsidRPr="009F4C8D">
      <w:rPr>
        <w:rStyle w:val="PageNumber"/>
        <w:rFonts w:ascii="Arial" w:hAnsi="Arial" w:cs="Arial"/>
      </w:rPr>
      <w:fldChar w:fldCharType="end"/>
    </w:r>
  </w:p>
  <w:p w14:paraId="5A964CA8" w14:textId="77777777" w:rsidR="00C64B39" w:rsidRDefault="00C64B39" w:rsidP="00C36F35">
    <w:pPr>
      <w:pStyle w:val="Footer"/>
      <w:rPr>
        <w:rFonts w:ascii="Arial" w:hAnsi="Arial"/>
        <w:color w:val="000000"/>
        <w:sz w:val="20"/>
      </w:rPr>
    </w:pPr>
  </w:p>
  <w:p w14:paraId="5A964CA9" w14:textId="77777777" w:rsidR="00C64B39" w:rsidRDefault="00C64B39" w:rsidP="00C36F35">
    <w:pPr>
      <w:pStyle w:val="Footer"/>
      <w:rPr>
        <w:rFonts w:ascii="Arial" w:hAnsi="Arial"/>
        <w:color w:val="000000"/>
        <w:sz w:val="20"/>
      </w:rPr>
    </w:pPr>
  </w:p>
  <w:p w14:paraId="5A964CAA" w14:textId="77777777" w:rsidR="00C64B39" w:rsidRDefault="00C64B39" w:rsidP="00C36F35">
    <w:pPr>
      <w:pStyle w:val="Footer"/>
      <w:rPr>
        <w:rFonts w:ascii="Arial" w:hAnsi="Arial"/>
        <w:color w:val="000000"/>
        <w:sz w:val="20"/>
      </w:rPr>
    </w:pPr>
  </w:p>
  <w:p w14:paraId="5A964CA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A964CA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64C9A" w14:textId="77777777" w:rsidR="008E410B" w:rsidRDefault="008E410B">
      <w:r>
        <w:separator/>
      </w:r>
    </w:p>
  </w:footnote>
  <w:footnote w:type="continuationSeparator" w:id="0">
    <w:p w14:paraId="5A964C9B"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9E"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9F"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64CA6" w14:textId="77777777" w:rsidR="00C64B39" w:rsidRDefault="008A64F6">
    <w:pPr>
      <w:pStyle w:val="Header"/>
    </w:pPr>
    <w:r>
      <w:rPr>
        <w:noProof/>
      </w:rPr>
      <w:pict w14:anchorId="5A964C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A964CAE">
        <v:shape id="_x0000_i1025" type="#_x0000_t75" style="width:87.05pt;height:76.2pt">
          <v:imagedata r:id="rId2" o:title="CoalAuthority_2013_logo"/>
        </v:shape>
      </w:pict>
    </w:r>
    <w:r>
      <w:rPr>
        <w:noProof/>
      </w:rPr>
      <w:pict w14:anchorId="5A964CA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A964CB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A964CB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A964CB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A964CB4" w14:textId="77777777" w:rsidR="00C64B39" w:rsidRPr="007A4BD1" w:rsidRDefault="00C64B39" w:rsidP="00306D09">
                <w:pPr>
                  <w:rPr>
                    <w:rFonts w:ascii="Arial" w:hAnsi="Arial" w:cs="Arial"/>
                    <w:b/>
                    <w:sz w:val="20"/>
                  </w:rPr>
                </w:pPr>
                <w:r>
                  <w:rPr>
                    <w:rFonts w:ascii="Arial" w:hAnsi="Arial" w:cs="Arial"/>
                    <w:b/>
                    <w:sz w:val="20"/>
                  </w:rPr>
                  <w:t>Nottinghamshire</w:t>
                </w:r>
              </w:p>
              <w:p w14:paraId="5A964CB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A964CB6" w14:textId="77777777" w:rsidR="00C64B39" w:rsidRDefault="00C64B39" w:rsidP="00306D09">
                <w:pPr>
                  <w:rPr>
                    <w:rFonts w:ascii="Arial" w:hAnsi="Arial" w:cs="Arial"/>
                    <w:b/>
                    <w:noProof/>
                    <w:sz w:val="20"/>
                  </w:rPr>
                </w:pPr>
              </w:p>
              <w:p w14:paraId="5A964CB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A964CB8" w14:textId="77777777" w:rsidR="00C64B39" w:rsidRDefault="00C64B39" w:rsidP="00306D09">
                <w:pPr>
                  <w:rPr>
                    <w:rFonts w:ascii="Arial" w:hAnsi="Arial" w:cs="Arial"/>
                    <w:b/>
                    <w:sz w:val="20"/>
                  </w:rPr>
                </w:pPr>
                <w:r>
                  <w:rPr>
                    <w:rFonts w:ascii="Arial" w:hAnsi="Arial" w:cs="Arial"/>
                    <w:b/>
                    <w:noProof/>
                    <w:sz w:val="20"/>
                  </w:rPr>
                  <w:tab/>
                </w:r>
              </w:p>
              <w:p w14:paraId="5A964CB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A964CBA" w14:textId="77777777" w:rsidR="00C64B39" w:rsidRDefault="00C64B39" w:rsidP="00306D09">
                <w:pPr>
                  <w:rPr>
                    <w:rFonts w:ascii="Arial" w:hAnsi="Arial" w:cs="Arial"/>
                    <w:b/>
                    <w:sz w:val="20"/>
                  </w:rPr>
                </w:pPr>
              </w:p>
              <w:p w14:paraId="5A964CB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A964CBC" w14:textId="77777777" w:rsidR="00C64B39" w:rsidRDefault="00C64B39" w:rsidP="00306D09">
                <w:pPr>
                  <w:rPr>
                    <w:rFonts w:ascii="Arial" w:hAnsi="Arial" w:cs="Arial"/>
                    <w:b/>
                    <w:sz w:val="20"/>
                  </w:rPr>
                </w:pPr>
                <w:r>
                  <w:rPr>
                    <w:rFonts w:ascii="Arial" w:hAnsi="Arial" w:cs="Arial"/>
                    <w:b/>
                    <w:sz w:val="20"/>
                  </w:rPr>
                  <w:t xml:space="preserve"> </w:t>
                </w:r>
              </w:p>
              <w:p w14:paraId="5A964CBD" w14:textId="77777777" w:rsidR="00C64B39" w:rsidRDefault="00C64B39" w:rsidP="00306D09">
                <w:pPr>
                  <w:tabs>
                    <w:tab w:val="left" w:pos="658"/>
                  </w:tabs>
                  <w:rPr>
                    <w:rFonts w:ascii="Arial" w:hAnsi="Arial" w:cs="Arial"/>
                    <w:b/>
                    <w:sz w:val="20"/>
                  </w:rPr>
                </w:pPr>
              </w:p>
              <w:p w14:paraId="5A964CBE" w14:textId="77777777" w:rsidR="00C64B39" w:rsidRDefault="00C64B39" w:rsidP="00306D09">
                <w:pPr>
                  <w:tabs>
                    <w:tab w:val="left" w:pos="658"/>
                  </w:tabs>
                  <w:rPr>
                    <w:rFonts w:ascii="Arial" w:hAnsi="Arial" w:cs="Arial"/>
                    <w:b/>
                    <w:sz w:val="20"/>
                  </w:rPr>
                </w:pPr>
              </w:p>
              <w:p w14:paraId="5A964CBF" w14:textId="77777777" w:rsidR="00C64B39" w:rsidRDefault="00C64B39" w:rsidP="00306D09">
                <w:pPr>
                  <w:tabs>
                    <w:tab w:val="left" w:pos="658"/>
                  </w:tabs>
                  <w:rPr>
                    <w:rFonts w:ascii="Arial" w:hAnsi="Arial" w:cs="Arial"/>
                    <w:b/>
                    <w:sz w:val="20"/>
                  </w:rPr>
                </w:pPr>
              </w:p>
              <w:p w14:paraId="5A964CC0" w14:textId="77777777" w:rsidR="00C64B39" w:rsidRPr="002B2F7F" w:rsidRDefault="00C64B39" w:rsidP="00306D09">
                <w:pPr>
                  <w:tabs>
                    <w:tab w:val="left" w:pos="658"/>
                  </w:tabs>
                  <w:rPr>
                    <w:rFonts w:ascii="Arial" w:hAnsi="Arial" w:cs="Arial"/>
                    <w:b/>
                    <w:sz w:val="22"/>
                  </w:rPr>
                </w:pPr>
              </w:p>
              <w:p w14:paraId="5A964CC1" w14:textId="77777777" w:rsidR="00C64B39" w:rsidRPr="002B2F7F" w:rsidRDefault="00C64B39" w:rsidP="00306D09">
                <w:pPr>
                  <w:rPr>
                    <w:rFonts w:ascii="Arial" w:hAnsi="Arial"/>
                  </w:rPr>
                </w:pPr>
              </w:p>
            </w:txbxContent>
          </v:textbox>
          <w10:wrap type="topAndBottom" anchory="page"/>
          <w10:anchorlock/>
        </v:shape>
      </w:pict>
    </w:r>
    <w:r>
      <w:rPr>
        <w:noProof/>
      </w:rPr>
      <w:pict w14:anchorId="5A964CB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XvIbPDYUd/TQddQ3qOQ4ebpxovY=" w:salt="s9X2FPev5Wxxo9aBsPjS8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4F6"/>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A96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lanningguidance.planningportal.gov.uk/blog/guidance/land-stability/land-stability-guidanc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0</Pages>
  <Words>635</Words>
  <Characters>3620</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4247</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2019-05-28T12:20:39.2330000Z</dcterms:modified>
</coreProperties>
</file>